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tabs>
          <w:tab w:val="left" w:pos="3103"/>
          <w:tab w:val="left" w:pos="6205"/>
        </w:tabs>
        <w:spacing w:before="21"/>
        <w:ind w:right="-48" w:rightChars="-22" w:firstLine="439" w:firstLineChars="183"/>
        <w:jc w:val="center"/>
        <w:rPr>
          <w:rFonts w:ascii="Times New Roman" w:eastAsiaTheme="minorEastAsia"/>
          <w:color w:val="auto"/>
          <w:spacing w:val="-2"/>
          <w:highlight w:val="yellow"/>
          <w:lang w:eastAsia="zh-CN"/>
        </w:rPr>
      </w:pPr>
      <w:r>
        <w:rPr>
          <w:rFonts w:hint="eastAsia" w:ascii="黑体" w:eastAsia="黑体"/>
          <w:color w:val="auto"/>
          <w:lang w:eastAsia="zh-CN"/>
        </w:rPr>
        <w:t>股票代码</w:t>
      </w:r>
      <w:r>
        <w:rPr>
          <w:rFonts w:hint="eastAsia" w:ascii="黑体" w:eastAsia="黑体"/>
          <w:color w:val="auto"/>
          <w:spacing w:val="-3"/>
          <w:lang w:eastAsia="zh-CN"/>
        </w:rPr>
        <w:t>：</w:t>
      </w:r>
      <w:r>
        <w:rPr>
          <w:rFonts w:hint="eastAsia" w:ascii="Times New Roman"/>
          <w:color w:val="auto"/>
          <w:spacing w:val="-3"/>
          <w:lang w:eastAsia="zh-CN"/>
        </w:rPr>
        <w:t>002871</w:t>
      </w:r>
      <w:r>
        <w:rPr>
          <w:rFonts w:ascii="Times New Roman" w:eastAsia="Times New Roman"/>
          <w:color w:val="auto"/>
          <w:spacing w:val="-3"/>
          <w:lang w:eastAsia="zh-CN"/>
        </w:rPr>
        <w:tab/>
      </w:r>
      <w:r>
        <w:rPr>
          <w:rFonts w:hint="eastAsia" w:ascii="黑体" w:eastAsia="黑体"/>
          <w:color w:val="auto"/>
          <w:lang w:eastAsia="zh-CN"/>
        </w:rPr>
        <w:t>股票简称</w:t>
      </w:r>
      <w:r>
        <w:rPr>
          <w:rFonts w:hint="eastAsia" w:ascii="黑体" w:eastAsia="黑体"/>
          <w:color w:val="auto"/>
          <w:spacing w:val="-18"/>
          <w:lang w:eastAsia="zh-CN"/>
        </w:rPr>
        <w:t>：伟隆股份</w:t>
      </w:r>
      <w:r>
        <w:rPr>
          <w:rFonts w:hint="eastAsia" w:ascii="黑体" w:eastAsia="黑体"/>
          <w:color w:val="auto"/>
          <w:lang w:eastAsia="zh-CN"/>
        </w:rPr>
        <w:tab/>
      </w:r>
      <w:r>
        <w:rPr>
          <w:rFonts w:hint="eastAsia" w:ascii="黑体" w:eastAsia="黑体"/>
          <w:color w:val="auto"/>
          <w:spacing w:val="-2"/>
          <w:lang w:eastAsia="zh-CN"/>
        </w:rPr>
        <w:t>公告编号：</w:t>
      </w:r>
      <w:r>
        <w:rPr>
          <w:rFonts w:ascii="Times New Roman" w:eastAsia="Times New Roman"/>
          <w:color w:val="auto"/>
          <w:spacing w:val="-2"/>
          <w:lang w:eastAsia="zh-CN"/>
        </w:rPr>
        <w:t>20</w:t>
      </w:r>
      <w:r>
        <w:rPr>
          <w:rFonts w:hint="eastAsia" w:ascii="Times New Roman" w:eastAsia="Times New Roman"/>
          <w:color w:val="auto"/>
          <w:spacing w:val="-2"/>
          <w:lang w:eastAsia="zh-CN"/>
        </w:rPr>
        <w:t>2</w:t>
      </w:r>
      <w:r>
        <w:rPr>
          <w:rFonts w:ascii="Times New Roman" w:eastAsia="Times New Roman"/>
          <w:color w:val="auto"/>
          <w:spacing w:val="-2"/>
          <w:lang w:eastAsia="zh-CN"/>
        </w:rPr>
        <w:t>2-</w:t>
      </w:r>
      <w:r>
        <w:rPr>
          <w:rFonts w:hint="eastAsia" w:ascii="Times New Roman" w:eastAsia="Times New Roman"/>
          <w:color w:val="auto"/>
          <w:spacing w:val="-2"/>
          <w:highlight w:val="none"/>
          <w:lang w:eastAsia="zh-CN"/>
        </w:rPr>
        <w:t>0</w:t>
      </w:r>
      <w:r>
        <w:rPr>
          <w:rFonts w:ascii="Times New Roman" w:eastAsia="Times New Roman"/>
          <w:color w:val="auto"/>
          <w:spacing w:val="-2"/>
          <w:highlight w:val="none"/>
          <w:lang w:eastAsia="zh-CN"/>
        </w:rPr>
        <w:t>7</w:t>
      </w:r>
      <w:r>
        <w:rPr>
          <w:rFonts w:hint="default" w:ascii="Times New Roman" w:eastAsiaTheme="minorEastAsia"/>
          <w:color w:val="auto"/>
          <w:spacing w:val="-2"/>
          <w:highlight w:val="none"/>
          <w:lang w:val="en-US" w:eastAsia="zh-CN"/>
        </w:rPr>
        <w:t>1</w:t>
      </w:r>
    </w:p>
    <w:p>
      <w:pPr>
        <w:pStyle w:val="4"/>
        <w:spacing w:before="0"/>
        <w:ind w:right="-48" w:rightChars="-22" w:firstLine="475" w:firstLineChars="183"/>
        <w:rPr>
          <w:rFonts w:ascii="Times New Roman"/>
          <w:color w:val="auto"/>
          <w:sz w:val="26"/>
          <w:lang w:eastAsia="zh-CN"/>
        </w:rPr>
      </w:pPr>
    </w:p>
    <w:p>
      <w:pPr>
        <w:pStyle w:val="4"/>
        <w:spacing w:before="0"/>
        <w:ind w:right="-48" w:rightChars="-22" w:firstLine="475" w:firstLineChars="183"/>
        <w:rPr>
          <w:rFonts w:ascii="Times New Roman"/>
          <w:color w:val="auto"/>
          <w:sz w:val="26"/>
          <w:lang w:eastAsia="zh-CN"/>
        </w:rPr>
      </w:pPr>
    </w:p>
    <w:p>
      <w:pPr>
        <w:spacing w:before="153"/>
        <w:ind w:right="-48" w:rightChars="-22" w:firstLine="514" w:firstLineChars="183"/>
        <w:jc w:val="center"/>
        <w:rPr>
          <w:b/>
          <w:color w:val="auto"/>
          <w:sz w:val="28"/>
          <w:szCs w:val="24"/>
          <w:lang w:eastAsia="zh-CN"/>
        </w:rPr>
      </w:pPr>
      <w:r>
        <w:rPr>
          <w:rFonts w:hint="eastAsia"/>
          <w:b/>
          <w:color w:val="auto"/>
          <w:sz w:val="28"/>
          <w:szCs w:val="24"/>
          <w:lang w:eastAsia="zh-CN"/>
        </w:rPr>
        <w:t>青岛伟隆阀门股份有限公司</w:t>
      </w:r>
    </w:p>
    <w:p>
      <w:pPr>
        <w:spacing w:before="153"/>
        <w:ind w:right="-48" w:rightChars="-22" w:firstLine="514" w:firstLineChars="183"/>
        <w:jc w:val="center"/>
        <w:rPr>
          <w:b/>
          <w:color w:val="auto"/>
          <w:sz w:val="28"/>
          <w:szCs w:val="24"/>
          <w:lang w:eastAsia="zh-CN"/>
        </w:rPr>
      </w:pPr>
      <w:r>
        <w:rPr>
          <w:b/>
          <w:color w:val="auto"/>
          <w:sz w:val="28"/>
          <w:szCs w:val="24"/>
          <w:lang w:eastAsia="zh-CN"/>
        </w:rPr>
        <w:t>关于</w:t>
      </w:r>
      <w:r>
        <w:rPr>
          <w:rFonts w:hint="eastAsia"/>
          <w:b/>
          <w:color w:val="auto"/>
          <w:sz w:val="28"/>
          <w:szCs w:val="24"/>
          <w:lang w:eastAsia="zh-CN"/>
        </w:rPr>
        <w:t>2021</w:t>
      </w:r>
      <w:r>
        <w:rPr>
          <w:b/>
          <w:color w:val="auto"/>
          <w:sz w:val="28"/>
          <w:szCs w:val="24"/>
          <w:lang w:eastAsia="zh-CN"/>
        </w:rPr>
        <w:t>年限制性股票激励计划</w:t>
      </w:r>
    </w:p>
    <w:p>
      <w:pPr>
        <w:spacing w:before="153"/>
        <w:ind w:right="-48" w:rightChars="-22" w:firstLine="514" w:firstLineChars="183"/>
        <w:jc w:val="center"/>
        <w:rPr>
          <w:b/>
          <w:color w:val="auto"/>
          <w:sz w:val="28"/>
          <w:szCs w:val="24"/>
          <w:lang w:eastAsia="zh-CN"/>
        </w:rPr>
      </w:pPr>
      <w:r>
        <w:rPr>
          <w:rFonts w:hint="eastAsia"/>
          <w:b/>
          <w:color w:val="auto"/>
          <w:sz w:val="28"/>
          <w:szCs w:val="24"/>
          <w:lang w:eastAsia="zh-CN"/>
        </w:rPr>
        <w:t>预留部分限制性股票</w:t>
      </w:r>
      <w:r>
        <w:rPr>
          <w:b/>
          <w:color w:val="auto"/>
          <w:sz w:val="28"/>
          <w:szCs w:val="24"/>
          <w:lang w:eastAsia="zh-CN"/>
        </w:rPr>
        <w:t>授予登记完成的公告</w:t>
      </w:r>
    </w:p>
    <w:tbl>
      <w:tblPr>
        <w:tblStyle w:val="10"/>
        <w:tblpPr w:leftFromText="180" w:rightFromText="180" w:vertAnchor="text" w:horzAnchor="page" w:tblpX="2066" w:tblpY="301"/>
        <w:tblOverlap w:val="never"/>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spacing w:line="360" w:lineRule="auto"/>
              <w:ind w:right="-48" w:rightChars="-22" w:firstLine="439" w:firstLineChars="183"/>
              <w:rPr>
                <w:rFonts w:asciiTheme="minorEastAsia" w:hAnsiTheme="minorEastAsia"/>
                <w:color w:val="auto"/>
                <w:sz w:val="24"/>
                <w:szCs w:val="24"/>
                <w:lang w:eastAsia="zh-CN"/>
              </w:rPr>
            </w:pPr>
            <w:r>
              <w:rPr>
                <w:rFonts w:hint="eastAsia" w:asciiTheme="minorEastAsia" w:hAnsiTheme="minorEastAsia"/>
                <w:color w:val="auto"/>
                <w:sz w:val="24"/>
                <w:szCs w:val="24"/>
                <w:lang w:eastAsia="zh-CN"/>
              </w:rPr>
              <w:t>本公司及董事会全体成员保证公告内容的真实、准确和完整，没有虚假记载、误导性陈述或重大遗漏。</w:t>
            </w:r>
          </w:p>
        </w:tc>
      </w:tr>
    </w:tbl>
    <w:p>
      <w:pPr>
        <w:pStyle w:val="4"/>
        <w:spacing w:before="0"/>
        <w:ind w:right="-48" w:rightChars="-22" w:firstLine="478" w:firstLineChars="183"/>
        <w:rPr>
          <w:b/>
          <w:color w:val="auto"/>
          <w:sz w:val="26"/>
          <w:lang w:eastAsia="zh-CN"/>
        </w:rPr>
      </w:pPr>
    </w:p>
    <w:p>
      <w:pPr>
        <w:pStyle w:val="2"/>
        <w:tabs>
          <w:tab w:val="left" w:pos="1760"/>
        </w:tabs>
        <w:spacing w:before="190" w:afterLines="50"/>
        <w:ind w:left="0" w:firstLine="441" w:firstLineChars="183"/>
        <w:rPr>
          <w:color w:val="auto"/>
        </w:rPr>
      </w:pPr>
      <w:r>
        <w:rPr>
          <w:color w:val="auto"/>
        </w:rPr>
        <w:t>特别提示：</w:t>
      </w:r>
    </w:p>
    <w:p>
      <w:pPr>
        <w:pStyle w:val="4"/>
        <w:numPr>
          <w:ilvl w:val="0"/>
          <w:numId w:val="1"/>
        </w:numPr>
        <w:tabs>
          <w:tab w:val="left" w:pos="1760"/>
        </w:tabs>
        <w:spacing w:before="0" w:afterLines="50" w:line="350" w:lineRule="auto"/>
        <w:ind w:firstLine="417" w:firstLineChars="183"/>
        <w:jc w:val="both"/>
        <w:rPr>
          <w:color w:val="auto"/>
          <w:spacing w:val="-6"/>
        </w:rPr>
      </w:pPr>
      <w:r>
        <w:rPr>
          <w:color w:val="auto"/>
          <w:spacing w:val="-6"/>
        </w:rPr>
        <w:t>限制性股票授予日：</w:t>
      </w:r>
      <w:r>
        <w:rPr>
          <w:rFonts w:hint="eastAsia"/>
          <w:color w:val="auto"/>
          <w:spacing w:val="-6"/>
          <w:lang w:eastAsia="zh-CN"/>
        </w:rPr>
        <w:t>202</w:t>
      </w:r>
      <w:r>
        <w:rPr>
          <w:color w:val="auto"/>
          <w:spacing w:val="-6"/>
          <w:lang w:eastAsia="zh-CN"/>
        </w:rPr>
        <w:t>2</w:t>
      </w:r>
      <w:r>
        <w:rPr>
          <w:color w:val="auto"/>
          <w:spacing w:val="-6"/>
        </w:rPr>
        <w:t>年</w:t>
      </w:r>
      <w:r>
        <w:rPr>
          <w:color w:val="auto"/>
          <w:spacing w:val="-6"/>
          <w:lang w:eastAsia="zh-CN"/>
        </w:rPr>
        <w:t>09</w:t>
      </w:r>
      <w:r>
        <w:rPr>
          <w:color w:val="auto"/>
          <w:spacing w:val="-6"/>
        </w:rPr>
        <w:t>月</w:t>
      </w:r>
      <w:r>
        <w:rPr>
          <w:color w:val="auto"/>
          <w:spacing w:val="-6"/>
          <w:lang w:eastAsia="zh-CN"/>
        </w:rPr>
        <w:t>0</w:t>
      </w:r>
      <w:r>
        <w:rPr>
          <w:rFonts w:hint="eastAsia"/>
          <w:color w:val="auto"/>
          <w:spacing w:val="-6"/>
          <w:lang w:eastAsia="zh-CN"/>
        </w:rPr>
        <w:t>8</w:t>
      </w:r>
      <w:r>
        <w:rPr>
          <w:color w:val="auto"/>
          <w:spacing w:val="-6"/>
        </w:rPr>
        <w:t>日；</w:t>
      </w:r>
    </w:p>
    <w:p>
      <w:pPr>
        <w:pStyle w:val="4"/>
        <w:numPr>
          <w:ilvl w:val="0"/>
          <w:numId w:val="1"/>
        </w:numPr>
        <w:tabs>
          <w:tab w:val="left" w:pos="1760"/>
        </w:tabs>
        <w:spacing w:before="0" w:afterLines="50" w:line="350" w:lineRule="auto"/>
        <w:ind w:firstLine="417" w:firstLineChars="183"/>
        <w:jc w:val="both"/>
        <w:rPr>
          <w:color w:val="auto"/>
          <w:spacing w:val="-6"/>
          <w:lang w:eastAsia="zh-CN"/>
        </w:rPr>
      </w:pPr>
      <w:r>
        <w:rPr>
          <w:color w:val="auto"/>
          <w:spacing w:val="-6"/>
        </w:rPr>
        <w:t>授予价格：</w:t>
      </w:r>
      <w:r>
        <w:rPr>
          <w:rFonts w:hint="eastAsia" w:asciiTheme="minorEastAsia" w:hAnsiTheme="minorEastAsia"/>
          <w:color w:val="auto"/>
        </w:rPr>
        <w:t>4</w:t>
      </w:r>
      <w:r>
        <w:rPr>
          <w:rFonts w:asciiTheme="minorEastAsia" w:hAnsiTheme="minorEastAsia"/>
          <w:color w:val="auto"/>
        </w:rPr>
        <w:t>.</w:t>
      </w:r>
      <w:r>
        <w:rPr>
          <w:rFonts w:hint="eastAsia" w:asciiTheme="minorEastAsia" w:hAnsiTheme="minorEastAsia"/>
          <w:color w:val="auto"/>
        </w:rPr>
        <w:t>65</w:t>
      </w:r>
      <w:r>
        <w:rPr>
          <w:color w:val="auto"/>
          <w:spacing w:val="-6"/>
        </w:rPr>
        <w:t>元/股；</w:t>
      </w:r>
    </w:p>
    <w:p>
      <w:pPr>
        <w:pStyle w:val="4"/>
        <w:numPr>
          <w:ilvl w:val="0"/>
          <w:numId w:val="1"/>
        </w:numPr>
        <w:tabs>
          <w:tab w:val="left" w:pos="1760"/>
        </w:tabs>
        <w:spacing w:before="0" w:afterLines="50" w:line="350" w:lineRule="auto"/>
        <w:ind w:firstLine="417" w:firstLineChars="183"/>
        <w:jc w:val="both"/>
        <w:rPr>
          <w:color w:val="auto"/>
          <w:spacing w:val="-6"/>
          <w:lang w:eastAsia="zh-CN"/>
        </w:rPr>
      </w:pPr>
      <w:r>
        <w:rPr>
          <w:color w:val="auto"/>
          <w:spacing w:val="-6"/>
          <w:lang w:eastAsia="zh-CN"/>
        </w:rPr>
        <w:t>股票来源：</w:t>
      </w:r>
      <w:r>
        <w:rPr>
          <w:rFonts w:hint="eastAsia" w:asciiTheme="minorEastAsia" w:hAnsiTheme="minorEastAsia"/>
          <w:color w:val="auto"/>
          <w:lang w:eastAsia="zh-CN"/>
        </w:rPr>
        <w:t>公司自二级市场回购的公司</w:t>
      </w:r>
      <w:r>
        <w:rPr>
          <w:rFonts w:asciiTheme="minorEastAsia" w:hAnsiTheme="minorEastAsia"/>
          <w:color w:val="auto"/>
          <w:lang w:eastAsia="zh-CN"/>
        </w:rPr>
        <w:t>A</w:t>
      </w:r>
      <w:r>
        <w:rPr>
          <w:rFonts w:hint="eastAsia" w:asciiTheme="minorEastAsia" w:hAnsiTheme="minorEastAsia"/>
          <w:color w:val="auto"/>
          <w:lang w:eastAsia="zh-CN"/>
        </w:rPr>
        <w:t>股普通股股票</w:t>
      </w:r>
      <w:r>
        <w:rPr>
          <w:color w:val="auto"/>
          <w:spacing w:val="-6"/>
          <w:lang w:eastAsia="zh-CN"/>
        </w:rPr>
        <w:t>；</w:t>
      </w:r>
    </w:p>
    <w:p>
      <w:pPr>
        <w:pStyle w:val="4"/>
        <w:numPr>
          <w:ilvl w:val="0"/>
          <w:numId w:val="1"/>
        </w:numPr>
        <w:tabs>
          <w:tab w:val="left" w:pos="1760"/>
        </w:tabs>
        <w:spacing w:before="0" w:afterLines="50" w:line="350" w:lineRule="auto"/>
        <w:ind w:firstLine="417" w:firstLineChars="183"/>
        <w:jc w:val="both"/>
        <w:rPr>
          <w:color w:val="auto"/>
          <w:spacing w:val="-6"/>
          <w:lang w:eastAsia="zh-CN"/>
        </w:rPr>
      </w:pPr>
      <w:r>
        <w:rPr>
          <w:color w:val="auto"/>
          <w:spacing w:val="-6"/>
          <w:lang w:eastAsia="zh-CN"/>
        </w:rPr>
        <w:t>授予对象及授予数量：本次限制性股票激励计划授予对象共27名，授予数量为</w:t>
      </w:r>
      <w:r>
        <w:rPr>
          <w:rFonts w:asciiTheme="minorEastAsia" w:hAnsiTheme="minorEastAsia"/>
          <w:color w:val="auto"/>
          <w:lang w:eastAsia="zh-CN"/>
        </w:rPr>
        <w:t>42.7626</w:t>
      </w:r>
      <w:r>
        <w:rPr>
          <w:color w:val="auto"/>
          <w:spacing w:val="-6"/>
          <w:lang w:eastAsia="zh-CN"/>
        </w:rPr>
        <w:t>万股</w:t>
      </w:r>
      <w:r>
        <w:rPr>
          <w:rFonts w:hint="eastAsia"/>
          <w:color w:val="auto"/>
          <w:spacing w:val="-6"/>
          <w:lang w:eastAsia="zh-CN"/>
        </w:rPr>
        <w:t>；</w:t>
      </w:r>
    </w:p>
    <w:p>
      <w:pPr>
        <w:pStyle w:val="4"/>
        <w:numPr>
          <w:ilvl w:val="0"/>
          <w:numId w:val="1"/>
        </w:numPr>
        <w:tabs>
          <w:tab w:val="left" w:pos="1760"/>
        </w:tabs>
        <w:spacing w:before="0" w:afterLines="50" w:line="350" w:lineRule="auto"/>
        <w:ind w:firstLine="417" w:firstLineChars="183"/>
        <w:jc w:val="both"/>
        <w:rPr>
          <w:color w:val="auto"/>
          <w:spacing w:val="-6"/>
          <w:lang w:eastAsia="zh-CN"/>
        </w:rPr>
      </w:pPr>
      <w:r>
        <w:rPr>
          <w:color w:val="auto"/>
          <w:spacing w:val="-6"/>
        </w:rPr>
        <w:t>限制性股票上市日：</w:t>
      </w:r>
      <w:r>
        <w:rPr>
          <w:rFonts w:hint="eastAsia"/>
          <w:color w:val="auto"/>
          <w:spacing w:val="-6"/>
          <w:lang w:eastAsia="zh-CN"/>
        </w:rPr>
        <w:t>202</w:t>
      </w:r>
      <w:r>
        <w:rPr>
          <w:color w:val="auto"/>
          <w:spacing w:val="-6"/>
          <w:lang w:eastAsia="zh-CN"/>
        </w:rPr>
        <w:t>2</w:t>
      </w:r>
      <w:r>
        <w:rPr>
          <w:color w:val="auto"/>
          <w:spacing w:val="-6"/>
        </w:rPr>
        <w:t>年</w:t>
      </w:r>
      <w:r>
        <w:rPr>
          <w:color w:val="auto"/>
          <w:spacing w:val="-6"/>
          <w:lang w:val="en-US" w:eastAsia="zh-CN"/>
        </w:rPr>
        <w:t>09月22日</w:t>
      </w:r>
      <w:r>
        <w:rPr>
          <w:rFonts w:hint="eastAsia"/>
          <w:color w:val="auto"/>
          <w:spacing w:val="-6"/>
          <w:lang w:eastAsia="zh-CN"/>
        </w:rPr>
        <w:t>；</w:t>
      </w:r>
    </w:p>
    <w:p>
      <w:pPr>
        <w:pStyle w:val="4"/>
        <w:numPr>
          <w:ilvl w:val="0"/>
          <w:numId w:val="1"/>
        </w:numPr>
        <w:tabs>
          <w:tab w:val="left" w:pos="1760"/>
        </w:tabs>
        <w:spacing w:before="0" w:afterLines="50" w:line="350" w:lineRule="auto"/>
        <w:ind w:firstLine="417" w:firstLineChars="183"/>
        <w:jc w:val="both"/>
        <w:rPr>
          <w:color w:val="auto"/>
          <w:spacing w:val="-6"/>
          <w:lang w:eastAsia="zh-CN"/>
        </w:rPr>
      </w:pPr>
      <w:r>
        <w:rPr>
          <w:rFonts w:hint="eastAsia"/>
          <w:color w:val="auto"/>
          <w:spacing w:val="-6"/>
          <w:lang w:eastAsia="zh-CN"/>
        </w:rPr>
        <w:t>预留部分限制性股票</w:t>
      </w:r>
      <w:r>
        <w:rPr>
          <w:color w:val="auto"/>
          <w:spacing w:val="-6"/>
          <w:lang w:eastAsia="zh-CN"/>
        </w:rPr>
        <w:t>授予登记完成数量：</w:t>
      </w:r>
      <w:r>
        <w:rPr>
          <w:rFonts w:asciiTheme="minorEastAsia" w:hAnsiTheme="minorEastAsia"/>
          <w:color w:val="auto"/>
          <w:lang w:eastAsia="zh-CN"/>
        </w:rPr>
        <w:t>42.7626</w:t>
      </w:r>
      <w:r>
        <w:rPr>
          <w:color w:val="auto"/>
          <w:spacing w:val="-6"/>
          <w:lang w:eastAsia="zh-CN"/>
        </w:rPr>
        <w:t>万股，占授予前公司总股本的</w:t>
      </w:r>
      <w:r>
        <w:rPr>
          <w:rFonts w:hint="eastAsia"/>
          <w:color w:val="auto"/>
          <w:szCs w:val="21"/>
          <w:lang w:eastAsia="zh-CN"/>
        </w:rPr>
        <w:t>0.25</w:t>
      </w:r>
      <w:r>
        <w:rPr>
          <w:color w:val="auto"/>
          <w:spacing w:val="-6"/>
          <w:lang w:eastAsia="zh-CN"/>
        </w:rPr>
        <w:t>%</w:t>
      </w:r>
      <w:r>
        <w:rPr>
          <w:rFonts w:hint="eastAsia"/>
          <w:color w:val="auto"/>
          <w:spacing w:val="-6"/>
          <w:lang w:eastAsia="zh-CN"/>
        </w:rPr>
        <w:t>。</w:t>
      </w:r>
    </w:p>
    <w:p>
      <w:pPr>
        <w:pStyle w:val="4"/>
        <w:tabs>
          <w:tab w:val="left" w:pos="1760"/>
        </w:tabs>
        <w:spacing w:before="0" w:afterLines="50" w:line="350" w:lineRule="auto"/>
        <w:ind w:firstLine="417" w:firstLineChars="183"/>
        <w:jc w:val="both"/>
        <w:rPr>
          <w:color w:val="auto"/>
          <w:lang w:eastAsia="zh-CN"/>
        </w:rPr>
      </w:pPr>
      <w:r>
        <w:rPr>
          <w:color w:val="auto"/>
          <w:spacing w:val="-6"/>
          <w:lang w:eastAsia="zh-CN"/>
        </w:rPr>
        <w:t>根据中国证监会《上市公司股权激励管理办法》、深圳证券交易所、中国证</w:t>
      </w:r>
      <w:r>
        <w:rPr>
          <w:color w:val="auto"/>
          <w:spacing w:val="-11"/>
          <w:lang w:eastAsia="zh-CN"/>
        </w:rPr>
        <w:t>券登记结算有限责任公司深圳分公司有关规则及《</w:t>
      </w:r>
      <w:r>
        <w:rPr>
          <w:rFonts w:hint="eastAsia" w:asciiTheme="minorEastAsia" w:hAnsiTheme="minorEastAsia"/>
          <w:color w:val="auto"/>
          <w:lang w:eastAsia="zh-CN"/>
        </w:rPr>
        <w:t>青岛伟隆阀门股份有限公司2021年限制性股票激励计划（草案）</w:t>
      </w:r>
      <w:r>
        <w:rPr>
          <w:color w:val="auto"/>
          <w:spacing w:val="-120"/>
          <w:lang w:eastAsia="zh-CN"/>
        </w:rPr>
        <w:t>》</w:t>
      </w:r>
      <w:r>
        <w:rPr>
          <w:color w:val="auto"/>
          <w:lang w:eastAsia="zh-CN"/>
        </w:rPr>
        <w:t>的规定，</w:t>
      </w:r>
      <w:r>
        <w:rPr>
          <w:rFonts w:hint="eastAsia"/>
          <w:color w:val="auto"/>
          <w:lang w:eastAsia="zh-CN"/>
        </w:rPr>
        <w:t>青岛伟隆阀门股份有限公司</w:t>
      </w:r>
      <w:r>
        <w:rPr>
          <w:color w:val="auto"/>
          <w:lang w:eastAsia="zh-CN"/>
        </w:rPr>
        <w:t>（</w:t>
      </w:r>
      <w:r>
        <w:rPr>
          <w:color w:val="auto"/>
          <w:spacing w:val="1"/>
          <w:lang w:eastAsia="zh-CN"/>
        </w:rPr>
        <w:t>以下简称</w:t>
      </w:r>
      <w:r>
        <w:rPr>
          <w:rFonts w:ascii="Times New Roman" w:hAnsi="Times New Roman" w:eastAsia="Times New Roman"/>
          <w:color w:val="auto"/>
          <w:lang w:eastAsia="zh-CN"/>
        </w:rPr>
        <w:t>“</w:t>
      </w:r>
      <w:r>
        <w:rPr>
          <w:color w:val="auto"/>
          <w:lang w:eastAsia="zh-CN"/>
        </w:rPr>
        <w:t>公司</w:t>
      </w:r>
      <w:r>
        <w:rPr>
          <w:rFonts w:ascii="Times New Roman" w:hAnsi="Times New Roman" w:eastAsia="Times New Roman"/>
          <w:color w:val="auto"/>
          <w:lang w:eastAsia="zh-CN"/>
        </w:rPr>
        <w:t>”</w:t>
      </w:r>
      <w:r>
        <w:rPr>
          <w:color w:val="auto"/>
          <w:lang w:eastAsia="zh-CN"/>
        </w:rPr>
        <w:t>）</w:t>
      </w:r>
      <w:r>
        <w:rPr>
          <w:rFonts w:hint="eastAsia"/>
          <w:color w:val="auto"/>
          <w:lang w:eastAsia="zh-CN"/>
        </w:rPr>
        <w:t>董事会已经</w:t>
      </w:r>
      <w:r>
        <w:rPr>
          <w:color w:val="auto"/>
          <w:lang w:eastAsia="zh-CN"/>
        </w:rPr>
        <w:t>完成了</w:t>
      </w:r>
      <w:r>
        <w:rPr>
          <w:rFonts w:hint="eastAsia" w:ascii="Times New Roman" w:hAnsi="Times New Roman" w:eastAsia="Times New Roman"/>
          <w:color w:val="auto"/>
          <w:lang w:eastAsia="zh-CN"/>
        </w:rPr>
        <w:t>2021</w:t>
      </w:r>
      <w:r>
        <w:rPr>
          <w:color w:val="auto"/>
          <w:lang w:eastAsia="zh-CN"/>
        </w:rPr>
        <w:t>年限制性股票激励计划</w:t>
      </w:r>
      <w:r>
        <w:rPr>
          <w:rFonts w:hint="eastAsia"/>
          <w:color w:val="auto"/>
          <w:spacing w:val="-6"/>
          <w:lang w:eastAsia="zh-CN"/>
        </w:rPr>
        <w:t>预留部分限制性股票</w:t>
      </w:r>
      <w:r>
        <w:rPr>
          <w:color w:val="auto"/>
          <w:lang w:eastAsia="zh-CN"/>
        </w:rPr>
        <w:t>授予登记工作，</w:t>
      </w:r>
      <w:r>
        <w:rPr>
          <w:rFonts w:hint="eastAsia"/>
          <w:color w:val="auto"/>
          <w:lang w:eastAsia="zh-CN"/>
        </w:rPr>
        <w:t>公司</w:t>
      </w:r>
      <w:r>
        <w:rPr>
          <w:rFonts w:hint="eastAsia"/>
          <w:color w:val="auto"/>
          <w:spacing w:val="-4"/>
          <w:lang w:eastAsia="zh-CN"/>
        </w:rPr>
        <w:t>本次限制性股票激励计划</w:t>
      </w:r>
      <w:r>
        <w:rPr>
          <w:color w:val="auto"/>
          <w:spacing w:val="-4"/>
          <w:lang w:eastAsia="zh-CN"/>
        </w:rPr>
        <w:t>已实施完毕。</w:t>
      </w:r>
      <w:r>
        <w:rPr>
          <w:rFonts w:hint="eastAsia"/>
          <w:color w:val="auto"/>
          <w:lang w:eastAsia="zh-CN"/>
        </w:rPr>
        <w:t>现将相关事项</w:t>
      </w:r>
      <w:r>
        <w:rPr>
          <w:color w:val="auto"/>
          <w:lang w:eastAsia="zh-CN"/>
        </w:rPr>
        <w:t>公告如下：</w:t>
      </w:r>
    </w:p>
    <w:p>
      <w:pPr>
        <w:pStyle w:val="2"/>
        <w:spacing w:afterLines="50"/>
        <w:ind w:left="0" w:firstLine="419" w:firstLineChars="183"/>
        <w:rPr>
          <w:color w:val="auto"/>
          <w:w w:val="95"/>
          <w:lang w:eastAsia="zh-CN"/>
        </w:rPr>
      </w:pPr>
      <w:bookmarkStart w:id="0" w:name="一、已履行的相关审批程序"/>
      <w:bookmarkEnd w:id="0"/>
      <w:r>
        <w:rPr>
          <w:rFonts w:hint="eastAsia"/>
          <w:color w:val="auto"/>
          <w:w w:val="95"/>
          <w:lang w:eastAsia="zh-CN"/>
        </w:rPr>
        <w:t>一、已履行的相关审批程序</w:t>
      </w:r>
    </w:p>
    <w:p>
      <w:pPr>
        <w:spacing w:beforeLines="50" w:afterLines="50" w:line="360" w:lineRule="auto"/>
        <w:ind w:firstLine="480" w:firstLineChars="200"/>
        <w:rPr>
          <w:rFonts w:asciiTheme="minorEastAsia" w:hAnsiTheme="minorEastAsia"/>
          <w:color w:val="auto"/>
          <w:sz w:val="24"/>
          <w:szCs w:val="24"/>
          <w:lang w:eastAsia="zh-CN"/>
        </w:rPr>
      </w:pPr>
      <w:bookmarkStart w:id="1" w:name="二、本次授予的具体情况"/>
      <w:bookmarkEnd w:id="1"/>
      <w:r>
        <w:rPr>
          <w:rFonts w:hint="eastAsia" w:asciiTheme="minorEastAsia" w:hAnsiTheme="minorEastAsia"/>
          <w:color w:val="auto"/>
          <w:sz w:val="24"/>
          <w:szCs w:val="24"/>
          <w:lang w:eastAsia="zh-CN"/>
        </w:rPr>
        <w:t>1、2021年9月28日，公司分别召开了第四届董事会第五次会议和第四届监事会第四次会议，审议通过了《关于&lt;公司2021年限制性股票激励计划（草案）及其摘要&gt;的议案》、《关于&lt;公司2021年限制性股票激励计划实施考核管理办法&gt;的议案》以及《关于提请股东大会授权董事会办理公司2021年限制性股票激励计划有关事项的议案》。公司独立董事对此发表了独立意见。</w:t>
      </w:r>
    </w:p>
    <w:p>
      <w:pPr>
        <w:spacing w:beforeLines="50" w:afterLines="50" w:line="360" w:lineRule="auto"/>
        <w:ind w:firstLine="480" w:firstLineChars="200"/>
        <w:rPr>
          <w:rFonts w:asciiTheme="minorEastAsia" w:hAnsiTheme="minorEastAsia"/>
          <w:color w:val="auto"/>
          <w:sz w:val="24"/>
          <w:szCs w:val="24"/>
          <w:lang w:eastAsia="zh-CN"/>
        </w:rPr>
      </w:pPr>
      <w:r>
        <w:rPr>
          <w:rFonts w:hint="eastAsia" w:asciiTheme="minorEastAsia" w:hAnsiTheme="minorEastAsia"/>
          <w:color w:val="auto"/>
          <w:sz w:val="24"/>
          <w:szCs w:val="24"/>
          <w:lang w:eastAsia="zh-CN"/>
        </w:rPr>
        <w:t>2、2021年9月28日至2021年10月8日，公司对2021年限制性股票激励计划授予激励对象名单进行了内部公示。公示期内，公司监事会未收到与激励计划拟激励对象有关的任何异议；公示期满，监事会对2021年限制性股票激励计划授予部分激励对象名单进行了核查并对公示情况进行了说明，于2021年10月9日公告了《监事会关于2021年限制性股票激励计划授予部分激励对象名单的审核及公示情况说明》。</w:t>
      </w:r>
    </w:p>
    <w:p>
      <w:pPr>
        <w:spacing w:beforeLines="50" w:afterLines="50" w:line="360" w:lineRule="auto"/>
        <w:ind w:firstLine="480" w:firstLineChars="200"/>
        <w:rPr>
          <w:rFonts w:asciiTheme="minorEastAsia" w:hAnsiTheme="minorEastAsia"/>
          <w:color w:val="auto"/>
          <w:sz w:val="24"/>
          <w:szCs w:val="24"/>
          <w:lang w:eastAsia="zh-CN"/>
        </w:rPr>
      </w:pPr>
      <w:r>
        <w:rPr>
          <w:rFonts w:hint="eastAsia" w:asciiTheme="minorEastAsia" w:hAnsiTheme="minorEastAsia"/>
          <w:color w:val="auto"/>
          <w:sz w:val="24"/>
          <w:szCs w:val="24"/>
          <w:lang w:eastAsia="zh-CN"/>
        </w:rPr>
        <w:t>3、2021年10月14日，公司召开2021年第二次临时股东大会，审议通过了《关于&lt;公司2021年限制性股票激励计划（草案）及其摘要&gt;的议案》、《关于&lt;公司2021年限制性股票激励计划实施考核管理办法&gt;的议案》以及《关于提请股东大会授权董事会办理公司2021年限制性股票激励计划有关事项的议案》。公司独立董事向全体股东公开征集了委托投票权。</w:t>
      </w:r>
    </w:p>
    <w:p>
      <w:pPr>
        <w:spacing w:beforeLines="50" w:afterLines="50" w:line="360" w:lineRule="auto"/>
        <w:ind w:firstLine="480" w:firstLineChars="200"/>
        <w:rPr>
          <w:rFonts w:asciiTheme="minorEastAsia" w:hAnsiTheme="minorEastAsia"/>
          <w:color w:val="auto"/>
          <w:sz w:val="24"/>
          <w:szCs w:val="24"/>
          <w:lang w:eastAsia="zh-CN"/>
        </w:rPr>
      </w:pPr>
      <w:r>
        <w:rPr>
          <w:rFonts w:hint="eastAsia" w:asciiTheme="minorEastAsia" w:hAnsiTheme="minorEastAsia"/>
          <w:color w:val="auto"/>
          <w:sz w:val="24"/>
          <w:szCs w:val="24"/>
          <w:lang w:eastAsia="zh-CN"/>
        </w:rPr>
        <w:t>4、2021年10月27日，公司召开第四届董事会第六次会议审议通过了《关于调整公司2021年限制性股票激励计划相关事项的议案》、《关于向激励对象授予限制性股票的议案》，董事会认为激励计划规定的授予条件已经成就，同意以2021年10月28日为授予日，向符合条件的80名激励对象授予27</w:t>
      </w:r>
      <w:r>
        <w:rPr>
          <w:rFonts w:asciiTheme="minorEastAsia" w:hAnsiTheme="minorEastAsia"/>
          <w:color w:val="auto"/>
          <w:sz w:val="24"/>
          <w:szCs w:val="24"/>
          <w:lang w:eastAsia="zh-CN"/>
        </w:rPr>
        <w:t>2</w:t>
      </w:r>
      <w:r>
        <w:rPr>
          <w:rFonts w:hint="eastAsia" w:asciiTheme="minorEastAsia" w:hAnsiTheme="minorEastAsia"/>
          <w:color w:val="auto"/>
          <w:sz w:val="24"/>
          <w:szCs w:val="24"/>
          <w:lang w:eastAsia="zh-CN"/>
        </w:rPr>
        <w:t>万股限制性股票。公司独立董事对此发表了独立意见。</w:t>
      </w:r>
    </w:p>
    <w:p>
      <w:pPr>
        <w:spacing w:beforeLines="50" w:afterLines="50" w:line="360" w:lineRule="auto"/>
        <w:ind w:firstLine="480" w:firstLineChars="200"/>
        <w:rPr>
          <w:rFonts w:asciiTheme="minorEastAsia" w:hAnsiTheme="minorEastAsia"/>
          <w:color w:val="auto"/>
          <w:sz w:val="24"/>
          <w:szCs w:val="24"/>
          <w:lang w:eastAsia="zh-CN"/>
        </w:rPr>
      </w:pPr>
      <w:r>
        <w:rPr>
          <w:rFonts w:hint="eastAsia" w:asciiTheme="minorEastAsia" w:hAnsiTheme="minorEastAsia"/>
          <w:color w:val="auto"/>
          <w:sz w:val="24"/>
          <w:szCs w:val="24"/>
          <w:lang w:eastAsia="zh-CN"/>
        </w:rPr>
        <w:t>5、2021年10月27日，公司召开第四届监事会第五次会议审议通过了《关于调整公司2021年限制性股票激励计划相关事项的议案》、《关于向激励对象授予限制性股票的议案》，并出具《青岛伟隆阀门股份有限公司监事会关于公司2021年限制性股票激励计划激励对象名单（调整后）的核查意见》，监事会认为激励计划规定的授予条件已经成就，同意以2021年10月28日为授予日，向符合条件的80名激励对象授予27</w:t>
      </w:r>
      <w:r>
        <w:rPr>
          <w:rFonts w:asciiTheme="minorEastAsia" w:hAnsiTheme="minorEastAsia"/>
          <w:color w:val="auto"/>
          <w:sz w:val="24"/>
          <w:szCs w:val="24"/>
          <w:lang w:eastAsia="zh-CN"/>
        </w:rPr>
        <w:t>2</w:t>
      </w:r>
      <w:r>
        <w:rPr>
          <w:rFonts w:hint="eastAsia" w:asciiTheme="minorEastAsia" w:hAnsiTheme="minorEastAsia"/>
          <w:color w:val="auto"/>
          <w:sz w:val="24"/>
          <w:szCs w:val="24"/>
          <w:lang w:eastAsia="zh-CN"/>
        </w:rPr>
        <w:t>万股限制性股票，授予价格为5.00元/股。</w:t>
      </w:r>
    </w:p>
    <w:p>
      <w:pPr>
        <w:spacing w:beforeLines="50" w:afterLines="50" w:line="360" w:lineRule="auto"/>
        <w:ind w:firstLine="480" w:firstLineChars="200"/>
        <w:rPr>
          <w:rFonts w:asciiTheme="minorEastAsia" w:hAnsiTheme="minorEastAsia"/>
          <w:color w:val="auto"/>
          <w:sz w:val="24"/>
          <w:szCs w:val="24"/>
          <w:lang w:eastAsia="zh-CN"/>
        </w:rPr>
      </w:pPr>
      <w:r>
        <w:rPr>
          <w:rFonts w:hint="eastAsia" w:asciiTheme="minorEastAsia" w:hAnsiTheme="minorEastAsia"/>
          <w:color w:val="auto"/>
          <w:sz w:val="24"/>
          <w:szCs w:val="24"/>
          <w:lang w:eastAsia="zh-CN"/>
        </w:rPr>
        <w:t>6、2022 年09月08日，公司召开第四届董事会第十四次会议，审议通过了《关于调整 2021年限制性股票激励计划预留部分授予价格的议案》《关于向2021年限制性股票激励计划激励对象授予预留部分限制性股票的议案》，同意公司2021年限制性股票激励计划预留部分限制性股票授予价格由5.00元/股调整为4.65元/股。董事会认为激励计划规定的预留部分授予条件已经成就，同意以202</w:t>
      </w:r>
      <w:r>
        <w:rPr>
          <w:rFonts w:asciiTheme="minorEastAsia" w:hAnsiTheme="minorEastAsia"/>
          <w:color w:val="auto"/>
          <w:sz w:val="24"/>
          <w:szCs w:val="24"/>
          <w:lang w:eastAsia="zh-CN"/>
        </w:rPr>
        <w:t>2</w:t>
      </w:r>
      <w:r>
        <w:rPr>
          <w:rFonts w:hint="eastAsia" w:asciiTheme="minorEastAsia" w:hAnsiTheme="minorEastAsia"/>
          <w:color w:val="auto"/>
          <w:sz w:val="24"/>
          <w:szCs w:val="24"/>
          <w:lang w:eastAsia="zh-CN"/>
        </w:rPr>
        <w:t>年09月08日为授予日，向符合条件的27名激励对象授予</w:t>
      </w:r>
      <w:r>
        <w:rPr>
          <w:rFonts w:asciiTheme="minorEastAsia" w:hAnsiTheme="minorEastAsia"/>
          <w:color w:val="auto"/>
          <w:sz w:val="24"/>
          <w:szCs w:val="24"/>
          <w:lang w:eastAsia="zh-CN"/>
        </w:rPr>
        <w:t>42.7626</w:t>
      </w:r>
      <w:r>
        <w:rPr>
          <w:rFonts w:hint="eastAsia" w:asciiTheme="minorEastAsia" w:hAnsiTheme="minorEastAsia"/>
          <w:color w:val="auto"/>
          <w:sz w:val="24"/>
          <w:szCs w:val="24"/>
          <w:lang w:eastAsia="zh-CN"/>
        </w:rPr>
        <w:t>万股限制性股票。公司独立董事对此发表了独立意见。</w:t>
      </w:r>
    </w:p>
    <w:p>
      <w:pPr>
        <w:spacing w:beforeLines="50" w:afterLines="50" w:line="360" w:lineRule="auto"/>
        <w:ind w:firstLine="480" w:firstLineChars="200"/>
        <w:rPr>
          <w:rFonts w:asciiTheme="minorEastAsia" w:hAnsiTheme="minorEastAsia"/>
          <w:color w:val="auto"/>
          <w:sz w:val="24"/>
          <w:szCs w:val="24"/>
          <w:lang w:eastAsia="zh-CN"/>
        </w:rPr>
      </w:pPr>
      <w:r>
        <w:rPr>
          <w:rFonts w:hint="eastAsia" w:asciiTheme="minorEastAsia" w:hAnsiTheme="minorEastAsia"/>
          <w:color w:val="auto"/>
          <w:sz w:val="24"/>
          <w:szCs w:val="24"/>
          <w:lang w:eastAsia="zh-CN"/>
        </w:rPr>
        <w:t>7、2022 年09月08日，公司召开第四届监事会第十二次会议，审议通过了《关于调整 2021年限制性股票激励计划预留部分授予价格的议案》《关于向2021年限制性股票激励计划激励对象授予预留部分限制性股票的议案》，并出具《青岛伟隆阀门股份有限公司监事会关于2021年限制性股票激励计划预留部分授予激励对象名单的核查意见》，监事会认为激励计划规定的预留部分授予条件已经成就，同意以2022年09月08日为授予日，向符合条件的27名激励对象授予42.7626万股限制性股票，授予价格为4.</w:t>
      </w:r>
      <w:r>
        <w:rPr>
          <w:rFonts w:asciiTheme="minorEastAsia" w:hAnsiTheme="minorEastAsia"/>
          <w:color w:val="auto"/>
          <w:sz w:val="24"/>
          <w:szCs w:val="24"/>
          <w:lang w:eastAsia="zh-CN"/>
        </w:rPr>
        <w:t>65</w:t>
      </w:r>
      <w:r>
        <w:rPr>
          <w:rFonts w:hint="eastAsia" w:asciiTheme="minorEastAsia" w:hAnsiTheme="minorEastAsia"/>
          <w:color w:val="auto"/>
          <w:sz w:val="24"/>
          <w:szCs w:val="24"/>
          <w:lang w:eastAsia="zh-CN"/>
        </w:rPr>
        <w:t>元/股。</w:t>
      </w:r>
    </w:p>
    <w:p>
      <w:pPr>
        <w:pStyle w:val="2"/>
        <w:spacing w:afterLines="50"/>
        <w:ind w:left="0" w:firstLine="419" w:firstLineChars="183"/>
        <w:rPr>
          <w:color w:val="auto"/>
          <w:w w:val="95"/>
          <w:lang w:eastAsia="zh-CN"/>
        </w:rPr>
      </w:pPr>
      <w:r>
        <w:rPr>
          <w:rFonts w:hint="eastAsia"/>
          <w:color w:val="auto"/>
          <w:w w:val="95"/>
          <w:lang w:eastAsia="zh-CN"/>
        </w:rPr>
        <w:t>二、本次授予的具体情况</w:t>
      </w:r>
    </w:p>
    <w:p>
      <w:pPr>
        <w:pStyle w:val="4"/>
        <w:tabs>
          <w:tab w:val="left" w:pos="0"/>
        </w:tabs>
        <w:spacing w:before="153" w:afterLines="50"/>
        <w:ind w:firstLine="439" w:firstLineChars="183"/>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1</w:t>
      </w:r>
      <w:r>
        <w:rPr>
          <w:rFonts w:asciiTheme="minorEastAsia" w:hAnsiTheme="minorEastAsia" w:eastAsiaTheme="minorEastAsia"/>
          <w:color w:val="auto"/>
          <w:lang w:eastAsia="zh-CN"/>
        </w:rPr>
        <w:t>、授予日：</w:t>
      </w:r>
      <w:r>
        <w:rPr>
          <w:rFonts w:hint="eastAsia" w:asciiTheme="minorEastAsia" w:hAnsiTheme="minorEastAsia" w:eastAsiaTheme="minorEastAsia"/>
          <w:color w:val="auto"/>
          <w:lang w:eastAsia="zh-CN"/>
        </w:rPr>
        <w:t>202</w:t>
      </w:r>
      <w:r>
        <w:rPr>
          <w:rFonts w:asciiTheme="minorEastAsia" w:hAnsiTheme="minorEastAsia" w:eastAsiaTheme="minorEastAsia"/>
          <w:color w:val="auto"/>
          <w:lang w:eastAsia="zh-CN"/>
        </w:rPr>
        <w:t>2年09月0</w:t>
      </w:r>
      <w:r>
        <w:rPr>
          <w:rFonts w:hint="eastAsia" w:asciiTheme="minorEastAsia" w:hAnsiTheme="minorEastAsia" w:eastAsiaTheme="minorEastAsia"/>
          <w:color w:val="auto"/>
          <w:lang w:eastAsia="zh-CN"/>
        </w:rPr>
        <w:t>8</w:t>
      </w:r>
      <w:r>
        <w:rPr>
          <w:rFonts w:asciiTheme="minorEastAsia" w:hAnsiTheme="minorEastAsia" w:eastAsiaTheme="minorEastAsia"/>
          <w:color w:val="auto"/>
          <w:lang w:eastAsia="zh-CN"/>
        </w:rPr>
        <w:t>日。</w:t>
      </w:r>
    </w:p>
    <w:p>
      <w:pPr>
        <w:pStyle w:val="4"/>
        <w:tabs>
          <w:tab w:val="left" w:pos="0"/>
        </w:tabs>
        <w:spacing w:afterLines="50" w:line="338" w:lineRule="auto"/>
        <w:ind w:firstLine="439" w:firstLineChars="183"/>
        <w:jc w:val="both"/>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2</w:t>
      </w:r>
      <w:r>
        <w:rPr>
          <w:rFonts w:asciiTheme="minorEastAsia" w:hAnsiTheme="minorEastAsia" w:eastAsiaTheme="minorEastAsia"/>
          <w:color w:val="auto"/>
          <w:lang w:eastAsia="zh-CN"/>
        </w:rPr>
        <w:t>、授予对象：公司董事、高级管理人员以及对公司未来经营和发展起到重</w:t>
      </w:r>
      <w:r>
        <w:rPr>
          <w:rFonts w:asciiTheme="minorEastAsia" w:hAnsiTheme="minorEastAsia" w:eastAsiaTheme="minorEastAsia"/>
          <w:color w:val="auto"/>
          <w:spacing w:val="-2"/>
          <w:lang w:eastAsia="zh-CN"/>
        </w:rPr>
        <w:t>要作用的核心人才，不包括独立董事、监事及单独或合计持有公司</w:t>
      </w:r>
      <w:r>
        <w:rPr>
          <w:rFonts w:asciiTheme="minorEastAsia" w:hAnsiTheme="minorEastAsia" w:eastAsiaTheme="minorEastAsia"/>
          <w:color w:val="auto"/>
          <w:lang w:eastAsia="zh-CN"/>
        </w:rPr>
        <w:t>5%以上股份的股东或实际控制人及其配偶、父母、子女。</w:t>
      </w:r>
    </w:p>
    <w:p>
      <w:pPr>
        <w:pStyle w:val="4"/>
        <w:tabs>
          <w:tab w:val="left" w:pos="0"/>
        </w:tabs>
        <w:spacing w:before="55" w:afterLines="50" w:line="338" w:lineRule="auto"/>
        <w:ind w:firstLine="439" w:firstLineChars="183"/>
        <w:jc w:val="both"/>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3</w:t>
      </w:r>
      <w:r>
        <w:rPr>
          <w:rFonts w:asciiTheme="minorEastAsia" w:hAnsiTheme="minorEastAsia" w:eastAsiaTheme="minorEastAsia"/>
          <w:color w:val="auto"/>
          <w:spacing w:val="-14"/>
          <w:lang w:eastAsia="zh-CN"/>
        </w:rPr>
        <w:t>、授予数量：</w:t>
      </w:r>
      <w:r>
        <w:rPr>
          <w:color w:val="auto"/>
          <w:spacing w:val="-6"/>
          <w:lang w:eastAsia="zh-CN"/>
        </w:rPr>
        <w:t>本次限制性股票激励计划授予对象共27名，授予数量为</w:t>
      </w:r>
      <w:r>
        <w:rPr>
          <w:rFonts w:asciiTheme="minorEastAsia" w:hAnsiTheme="minorEastAsia"/>
          <w:color w:val="auto"/>
          <w:lang w:eastAsia="zh-CN"/>
        </w:rPr>
        <w:t>42.7626</w:t>
      </w:r>
      <w:r>
        <w:rPr>
          <w:color w:val="auto"/>
          <w:spacing w:val="-6"/>
          <w:lang w:eastAsia="zh-CN"/>
        </w:rPr>
        <w:t>万股,占授予前公司总股本的</w:t>
      </w:r>
      <w:r>
        <w:rPr>
          <w:rFonts w:hint="eastAsia"/>
          <w:color w:val="auto"/>
          <w:szCs w:val="21"/>
          <w:lang w:eastAsia="zh-CN"/>
        </w:rPr>
        <w:t>0.25</w:t>
      </w:r>
      <w:r>
        <w:rPr>
          <w:color w:val="auto"/>
          <w:spacing w:val="-6"/>
          <w:lang w:eastAsia="zh-CN"/>
        </w:rPr>
        <w:t>%</w:t>
      </w:r>
      <w:r>
        <w:rPr>
          <w:rFonts w:asciiTheme="minorEastAsia" w:hAnsiTheme="minorEastAsia" w:eastAsiaTheme="minorEastAsia"/>
          <w:color w:val="auto"/>
          <w:lang w:eastAsia="zh-CN"/>
        </w:rPr>
        <w:t>。</w:t>
      </w:r>
    </w:p>
    <w:p>
      <w:pPr>
        <w:pStyle w:val="4"/>
        <w:spacing w:afterLines="50"/>
        <w:ind w:firstLine="439" w:firstLineChars="183"/>
        <w:rPr>
          <w:color w:val="auto"/>
          <w:lang w:eastAsia="zh-CN"/>
        </w:rPr>
      </w:pPr>
      <w:r>
        <w:rPr>
          <w:color w:val="auto"/>
          <w:lang w:eastAsia="zh-CN"/>
        </w:rPr>
        <w:t>限制性股票的分配情况如下：</w:t>
      </w:r>
    </w:p>
    <w:tbl>
      <w:tblPr>
        <w:tblStyle w:val="9"/>
        <w:tblW w:w="832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96"/>
        <w:gridCol w:w="1620"/>
        <w:gridCol w:w="1755"/>
        <w:gridCol w:w="2183"/>
        <w:gridCol w:w="167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14" w:hRule="exact"/>
          <w:jc w:val="center"/>
        </w:trPr>
        <w:tc>
          <w:tcPr>
            <w:tcW w:w="1096" w:type="dxa"/>
            <w:shd w:val="clear" w:color="auto" w:fill="DDDDDD"/>
            <w:vAlign w:val="center"/>
          </w:tcPr>
          <w:p>
            <w:pPr>
              <w:widowControl/>
              <w:jc w:val="center"/>
              <w:textAlignment w:val="center"/>
              <w:rPr>
                <w:b/>
                <w:color w:val="auto"/>
                <w:szCs w:val="21"/>
              </w:rPr>
            </w:pPr>
            <w:r>
              <w:rPr>
                <w:rFonts w:hint="eastAsia"/>
                <w:b/>
                <w:bCs/>
                <w:color w:val="auto"/>
                <w:szCs w:val="21"/>
              </w:rPr>
              <w:t>姓名</w:t>
            </w:r>
          </w:p>
        </w:tc>
        <w:tc>
          <w:tcPr>
            <w:tcW w:w="1620" w:type="dxa"/>
            <w:shd w:val="clear" w:color="auto" w:fill="DDDDDD"/>
            <w:vAlign w:val="center"/>
          </w:tcPr>
          <w:p>
            <w:pPr>
              <w:widowControl/>
              <w:jc w:val="center"/>
              <w:textAlignment w:val="center"/>
              <w:rPr>
                <w:b/>
                <w:color w:val="auto"/>
                <w:szCs w:val="21"/>
              </w:rPr>
            </w:pPr>
            <w:r>
              <w:rPr>
                <w:rFonts w:hint="eastAsia"/>
                <w:b/>
                <w:bCs/>
                <w:color w:val="auto"/>
                <w:szCs w:val="21"/>
              </w:rPr>
              <w:t>职务</w:t>
            </w:r>
          </w:p>
        </w:tc>
        <w:tc>
          <w:tcPr>
            <w:tcW w:w="1755" w:type="dxa"/>
            <w:shd w:val="clear" w:color="auto" w:fill="DDDDDD"/>
            <w:vAlign w:val="center"/>
          </w:tcPr>
          <w:p>
            <w:pPr>
              <w:widowControl/>
              <w:jc w:val="center"/>
              <w:textAlignment w:val="center"/>
              <w:rPr>
                <w:b/>
                <w:color w:val="auto"/>
                <w:szCs w:val="21"/>
                <w:lang w:eastAsia="zh-CN"/>
              </w:rPr>
            </w:pPr>
            <w:r>
              <w:rPr>
                <w:rFonts w:hint="eastAsia"/>
                <w:b/>
                <w:bCs/>
                <w:color w:val="auto"/>
                <w:szCs w:val="21"/>
                <w:lang w:eastAsia="zh-CN"/>
              </w:rPr>
              <w:t>获授的限制性股票数量（万股）</w:t>
            </w:r>
          </w:p>
        </w:tc>
        <w:tc>
          <w:tcPr>
            <w:tcW w:w="2183" w:type="dxa"/>
            <w:shd w:val="clear" w:color="auto" w:fill="DDDDDD"/>
            <w:vAlign w:val="center"/>
          </w:tcPr>
          <w:p>
            <w:pPr>
              <w:widowControl/>
              <w:jc w:val="center"/>
              <w:textAlignment w:val="center"/>
              <w:rPr>
                <w:color w:val="auto"/>
                <w:szCs w:val="21"/>
                <w:highlight w:val="yellow"/>
                <w:lang w:eastAsia="zh-CN"/>
              </w:rPr>
            </w:pPr>
            <w:r>
              <w:rPr>
                <w:rFonts w:hint="eastAsia"/>
                <w:b/>
                <w:bCs/>
                <w:color w:val="auto"/>
                <w:szCs w:val="21"/>
                <w:lang w:eastAsia="zh-CN"/>
              </w:rPr>
              <w:t>占预留授予限制性股票总数的比例</w:t>
            </w:r>
          </w:p>
        </w:tc>
        <w:tc>
          <w:tcPr>
            <w:tcW w:w="1672" w:type="dxa"/>
            <w:shd w:val="clear" w:color="auto" w:fill="DDDDDD"/>
            <w:vAlign w:val="center"/>
          </w:tcPr>
          <w:p>
            <w:pPr>
              <w:widowControl/>
              <w:jc w:val="center"/>
              <w:textAlignment w:val="center"/>
              <w:rPr>
                <w:b/>
                <w:color w:val="auto"/>
                <w:szCs w:val="21"/>
                <w:lang w:eastAsia="zh-CN"/>
              </w:rPr>
            </w:pPr>
            <w:r>
              <w:rPr>
                <w:rFonts w:hint="eastAsia"/>
                <w:b/>
                <w:bCs/>
                <w:color w:val="auto"/>
                <w:szCs w:val="21"/>
                <w:lang w:eastAsia="zh-CN"/>
              </w:rPr>
              <w:t>占目前股本总额的比例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8" w:hRule="exact"/>
          <w:jc w:val="center"/>
        </w:trPr>
        <w:tc>
          <w:tcPr>
            <w:tcW w:w="1096" w:type="dxa"/>
            <w:vAlign w:val="center"/>
          </w:tcPr>
          <w:p>
            <w:pPr>
              <w:widowControl/>
              <w:jc w:val="center"/>
              <w:textAlignment w:val="center"/>
              <w:rPr>
                <w:rFonts w:asciiTheme="minorEastAsia" w:hAnsiTheme="minorEastAsia"/>
                <w:b/>
                <w:bCs/>
                <w:color w:val="auto"/>
                <w:szCs w:val="21"/>
              </w:rPr>
            </w:pPr>
            <w:r>
              <w:rPr>
                <w:rFonts w:hint="eastAsia"/>
                <w:color w:val="auto"/>
                <w:szCs w:val="21"/>
              </w:rPr>
              <w:t>迟娜娜</w:t>
            </w:r>
          </w:p>
        </w:tc>
        <w:tc>
          <w:tcPr>
            <w:tcW w:w="1620" w:type="dxa"/>
            <w:vAlign w:val="center"/>
          </w:tcPr>
          <w:p>
            <w:pPr>
              <w:widowControl/>
              <w:jc w:val="center"/>
              <w:textAlignment w:val="center"/>
              <w:rPr>
                <w:color w:val="auto"/>
                <w:lang w:eastAsia="zh-CN"/>
              </w:rPr>
            </w:pPr>
            <w:r>
              <w:rPr>
                <w:rFonts w:hint="eastAsia"/>
                <w:color w:val="auto"/>
                <w:szCs w:val="21"/>
                <w:lang w:eastAsia="zh-CN"/>
              </w:rPr>
              <w:t>董事、财务总监、董事会秘书</w:t>
            </w:r>
          </w:p>
        </w:tc>
        <w:tc>
          <w:tcPr>
            <w:tcW w:w="1755" w:type="dxa"/>
            <w:vAlign w:val="center"/>
          </w:tcPr>
          <w:p>
            <w:pPr>
              <w:widowControl/>
              <w:jc w:val="center"/>
              <w:textAlignment w:val="center"/>
              <w:rPr>
                <w:rFonts w:asciiTheme="minorEastAsia" w:hAnsiTheme="minorEastAsia"/>
                <w:b/>
                <w:bCs/>
                <w:color w:val="auto"/>
                <w:szCs w:val="21"/>
                <w:highlight w:val="yellow"/>
              </w:rPr>
            </w:pPr>
            <w:r>
              <w:rPr>
                <w:rFonts w:hint="eastAsia"/>
                <w:color w:val="auto"/>
                <w:szCs w:val="21"/>
              </w:rPr>
              <w:t>2</w:t>
            </w:r>
          </w:p>
        </w:tc>
        <w:tc>
          <w:tcPr>
            <w:tcW w:w="2183" w:type="dxa"/>
            <w:vAlign w:val="center"/>
          </w:tcPr>
          <w:p>
            <w:pPr>
              <w:widowControl/>
              <w:jc w:val="center"/>
              <w:textAlignment w:val="center"/>
              <w:rPr>
                <w:b/>
                <w:bCs/>
                <w:color w:val="auto"/>
                <w:sz w:val="20"/>
                <w:szCs w:val="20"/>
                <w:highlight w:val="yellow"/>
              </w:rPr>
            </w:pPr>
            <w:r>
              <w:rPr>
                <w:rFonts w:hint="eastAsia"/>
                <w:color w:val="auto"/>
                <w:szCs w:val="21"/>
              </w:rPr>
              <w:t>4.68%</w:t>
            </w:r>
          </w:p>
        </w:tc>
        <w:tc>
          <w:tcPr>
            <w:tcW w:w="1672" w:type="dxa"/>
            <w:vAlign w:val="center"/>
          </w:tcPr>
          <w:p>
            <w:pPr>
              <w:widowControl/>
              <w:jc w:val="center"/>
              <w:textAlignment w:val="center"/>
              <w:rPr>
                <w:rFonts w:asciiTheme="minorEastAsia" w:hAnsiTheme="minorEastAsia"/>
                <w:b/>
                <w:bCs/>
                <w:color w:val="auto"/>
                <w:szCs w:val="21"/>
                <w:highlight w:val="yellow"/>
              </w:rPr>
            </w:pPr>
            <w:r>
              <w:rPr>
                <w:rFonts w:hint="eastAsia"/>
                <w:color w:val="auto"/>
                <w:szCs w:val="21"/>
              </w:rPr>
              <w:t>0.01%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3" w:hRule="exact"/>
          <w:jc w:val="center"/>
        </w:trPr>
        <w:tc>
          <w:tcPr>
            <w:tcW w:w="1096" w:type="dxa"/>
            <w:vAlign w:val="center"/>
          </w:tcPr>
          <w:p>
            <w:pPr>
              <w:widowControl/>
              <w:jc w:val="center"/>
              <w:textAlignment w:val="center"/>
              <w:rPr>
                <w:rFonts w:asciiTheme="minorEastAsia" w:hAnsiTheme="minorEastAsia"/>
                <w:b/>
                <w:bCs/>
                <w:color w:val="auto"/>
                <w:szCs w:val="21"/>
              </w:rPr>
            </w:pPr>
            <w:r>
              <w:rPr>
                <w:rFonts w:hint="eastAsia"/>
                <w:color w:val="auto"/>
                <w:szCs w:val="21"/>
              </w:rPr>
              <w:t>杨杰</w:t>
            </w:r>
          </w:p>
        </w:tc>
        <w:tc>
          <w:tcPr>
            <w:tcW w:w="1620" w:type="dxa"/>
            <w:vAlign w:val="center"/>
          </w:tcPr>
          <w:p>
            <w:pPr>
              <w:widowControl/>
              <w:jc w:val="center"/>
              <w:textAlignment w:val="center"/>
              <w:rPr>
                <w:color w:val="auto"/>
              </w:rPr>
            </w:pPr>
            <w:r>
              <w:rPr>
                <w:rFonts w:hint="eastAsia"/>
                <w:color w:val="auto"/>
                <w:szCs w:val="21"/>
              </w:rPr>
              <w:t>副总经理</w:t>
            </w:r>
          </w:p>
        </w:tc>
        <w:tc>
          <w:tcPr>
            <w:tcW w:w="1755" w:type="dxa"/>
            <w:vAlign w:val="center"/>
          </w:tcPr>
          <w:p>
            <w:pPr>
              <w:widowControl/>
              <w:jc w:val="center"/>
              <w:textAlignment w:val="center"/>
              <w:rPr>
                <w:rFonts w:asciiTheme="minorEastAsia" w:hAnsiTheme="minorEastAsia"/>
                <w:b/>
                <w:bCs/>
                <w:color w:val="auto"/>
                <w:szCs w:val="21"/>
              </w:rPr>
            </w:pPr>
            <w:r>
              <w:rPr>
                <w:rFonts w:hint="eastAsia"/>
                <w:color w:val="auto"/>
                <w:szCs w:val="21"/>
              </w:rPr>
              <w:t>8</w:t>
            </w:r>
          </w:p>
        </w:tc>
        <w:tc>
          <w:tcPr>
            <w:tcW w:w="2183" w:type="dxa"/>
            <w:vAlign w:val="center"/>
          </w:tcPr>
          <w:p>
            <w:pPr>
              <w:widowControl/>
              <w:jc w:val="center"/>
              <w:textAlignment w:val="center"/>
              <w:rPr>
                <w:b/>
                <w:bCs/>
                <w:color w:val="auto"/>
                <w:szCs w:val="21"/>
              </w:rPr>
            </w:pPr>
            <w:r>
              <w:rPr>
                <w:rFonts w:hint="eastAsia"/>
                <w:color w:val="auto"/>
                <w:szCs w:val="21"/>
              </w:rPr>
              <w:t>18.71%</w:t>
            </w:r>
          </w:p>
        </w:tc>
        <w:tc>
          <w:tcPr>
            <w:tcW w:w="1672" w:type="dxa"/>
            <w:vAlign w:val="center"/>
          </w:tcPr>
          <w:p>
            <w:pPr>
              <w:widowControl/>
              <w:jc w:val="center"/>
              <w:textAlignment w:val="center"/>
              <w:rPr>
                <w:b/>
                <w:bCs/>
                <w:color w:val="auto"/>
                <w:szCs w:val="21"/>
                <w:highlight w:val="yellow"/>
              </w:rPr>
            </w:pPr>
            <w:r>
              <w:rPr>
                <w:rFonts w:hint="eastAsia"/>
                <w:color w:val="auto"/>
                <w:szCs w:val="21"/>
              </w:rPr>
              <w:t>0.05%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8" w:hRule="exact"/>
          <w:jc w:val="center"/>
        </w:trPr>
        <w:tc>
          <w:tcPr>
            <w:tcW w:w="2716" w:type="dxa"/>
            <w:gridSpan w:val="2"/>
            <w:vAlign w:val="center"/>
          </w:tcPr>
          <w:p>
            <w:pPr>
              <w:widowControl/>
              <w:jc w:val="center"/>
              <w:textAlignment w:val="center"/>
              <w:rPr>
                <w:rFonts w:asciiTheme="minorEastAsia" w:hAnsiTheme="minorEastAsia"/>
                <w:b/>
                <w:bCs/>
                <w:color w:val="auto"/>
                <w:szCs w:val="21"/>
                <w:lang w:eastAsia="zh-CN"/>
              </w:rPr>
            </w:pPr>
            <w:r>
              <w:rPr>
                <w:rFonts w:hint="eastAsia"/>
                <w:color w:val="auto"/>
                <w:szCs w:val="21"/>
                <w:lang w:eastAsia="zh-CN"/>
              </w:rPr>
              <w:t>中层管理人员与核心骨干人员（25人）</w:t>
            </w:r>
          </w:p>
        </w:tc>
        <w:tc>
          <w:tcPr>
            <w:tcW w:w="1755" w:type="dxa"/>
            <w:vAlign w:val="center"/>
          </w:tcPr>
          <w:p>
            <w:pPr>
              <w:widowControl/>
              <w:jc w:val="center"/>
              <w:textAlignment w:val="center"/>
              <w:rPr>
                <w:rFonts w:asciiTheme="minorEastAsia" w:hAnsiTheme="minorEastAsia"/>
                <w:b/>
                <w:bCs/>
                <w:color w:val="auto"/>
                <w:szCs w:val="21"/>
              </w:rPr>
            </w:pPr>
            <w:r>
              <w:rPr>
                <w:rFonts w:hint="eastAsia"/>
                <w:color w:val="auto"/>
                <w:szCs w:val="21"/>
              </w:rPr>
              <w:t>32.7626</w:t>
            </w:r>
          </w:p>
        </w:tc>
        <w:tc>
          <w:tcPr>
            <w:tcW w:w="2183" w:type="dxa"/>
            <w:vAlign w:val="center"/>
          </w:tcPr>
          <w:p>
            <w:pPr>
              <w:widowControl/>
              <w:jc w:val="center"/>
              <w:textAlignment w:val="center"/>
              <w:rPr>
                <w:b/>
                <w:bCs/>
                <w:color w:val="auto"/>
                <w:szCs w:val="21"/>
              </w:rPr>
            </w:pPr>
            <w:r>
              <w:rPr>
                <w:rFonts w:hint="eastAsia"/>
                <w:color w:val="auto"/>
                <w:szCs w:val="21"/>
              </w:rPr>
              <w:t>76.61%</w:t>
            </w:r>
          </w:p>
        </w:tc>
        <w:tc>
          <w:tcPr>
            <w:tcW w:w="1672" w:type="dxa"/>
            <w:vAlign w:val="center"/>
          </w:tcPr>
          <w:p>
            <w:pPr>
              <w:widowControl/>
              <w:jc w:val="center"/>
              <w:textAlignment w:val="center"/>
              <w:rPr>
                <w:b/>
                <w:bCs/>
                <w:color w:val="auto"/>
                <w:szCs w:val="21"/>
                <w:highlight w:val="yellow"/>
              </w:rPr>
            </w:pPr>
            <w:r>
              <w:rPr>
                <w:rFonts w:hint="eastAsia"/>
                <w:color w:val="auto"/>
                <w:szCs w:val="21"/>
              </w:rPr>
              <w:t>0.19%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3" w:hRule="exact"/>
          <w:jc w:val="center"/>
        </w:trPr>
        <w:tc>
          <w:tcPr>
            <w:tcW w:w="2716" w:type="dxa"/>
            <w:gridSpan w:val="2"/>
            <w:vAlign w:val="center"/>
          </w:tcPr>
          <w:p>
            <w:pPr>
              <w:widowControl/>
              <w:jc w:val="center"/>
              <w:textAlignment w:val="center"/>
              <w:rPr>
                <w:rFonts w:asciiTheme="minorEastAsia" w:hAnsiTheme="minorEastAsia"/>
                <w:b/>
                <w:bCs/>
                <w:color w:val="auto"/>
                <w:szCs w:val="21"/>
              </w:rPr>
            </w:pPr>
            <w:r>
              <w:rPr>
                <w:rFonts w:hint="eastAsia"/>
                <w:b/>
                <w:bCs/>
                <w:color w:val="auto"/>
                <w:szCs w:val="21"/>
              </w:rPr>
              <w:t>预留部分授予合计</w:t>
            </w:r>
          </w:p>
        </w:tc>
        <w:tc>
          <w:tcPr>
            <w:tcW w:w="1755" w:type="dxa"/>
            <w:vAlign w:val="center"/>
          </w:tcPr>
          <w:p>
            <w:pPr>
              <w:widowControl/>
              <w:jc w:val="center"/>
              <w:textAlignment w:val="center"/>
              <w:rPr>
                <w:rFonts w:asciiTheme="minorEastAsia" w:hAnsiTheme="minorEastAsia"/>
                <w:b/>
                <w:bCs/>
                <w:color w:val="auto"/>
                <w:szCs w:val="21"/>
              </w:rPr>
            </w:pPr>
            <w:r>
              <w:rPr>
                <w:rFonts w:hint="eastAsia"/>
                <w:b/>
                <w:bCs/>
                <w:color w:val="auto"/>
                <w:szCs w:val="21"/>
              </w:rPr>
              <w:t>42.7626</w:t>
            </w:r>
          </w:p>
        </w:tc>
        <w:tc>
          <w:tcPr>
            <w:tcW w:w="2183" w:type="dxa"/>
            <w:vAlign w:val="center"/>
          </w:tcPr>
          <w:p>
            <w:pPr>
              <w:widowControl/>
              <w:jc w:val="center"/>
              <w:textAlignment w:val="center"/>
              <w:rPr>
                <w:b/>
                <w:bCs/>
                <w:color w:val="auto"/>
                <w:szCs w:val="21"/>
              </w:rPr>
            </w:pPr>
            <w:r>
              <w:rPr>
                <w:rFonts w:hint="eastAsia"/>
                <w:b/>
                <w:bCs/>
                <w:color w:val="auto"/>
                <w:szCs w:val="21"/>
              </w:rPr>
              <w:t>100%</w:t>
            </w:r>
          </w:p>
        </w:tc>
        <w:tc>
          <w:tcPr>
            <w:tcW w:w="1672" w:type="dxa"/>
            <w:vAlign w:val="center"/>
          </w:tcPr>
          <w:p>
            <w:pPr>
              <w:widowControl/>
              <w:jc w:val="center"/>
              <w:textAlignment w:val="center"/>
              <w:rPr>
                <w:b/>
                <w:bCs/>
                <w:color w:val="auto"/>
                <w:szCs w:val="21"/>
                <w:highlight w:val="yellow"/>
              </w:rPr>
            </w:pPr>
            <w:r>
              <w:rPr>
                <w:rFonts w:hint="eastAsia"/>
                <w:color w:val="auto"/>
                <w:szCs w:val="21"/>
              </w:rPr>
              <w:t>0.25%</w:t>
            </w:r>
          </w:p>
        </w:tc>
      </w:tr>
    </w:tbl>
    <w:p>
      <w:pPr>
        <w:pStyle w:val="4"/>
        <w:spacing w:before="8" w:afterLines="50"/>
        <w:ind w:firstLine="146" w:firstLineChars="183"/>
        <w:rPr>
          <w:color w:val="auto"/>
          <w:sz w:val="8"/>
        </w:rPr>
      </w:pPr>
    </w:p>
    <w:p>
      <w:pPr>
        <w:pStyle w:val="4"/>
        <w:spacing w:before="40" w:afterLines="50"/>
        <w:ind w:firstLine="439" w:firstLineChars="183"/>
        <w:rPr>
          <w:color w:val="auto"/>
        </w:rPr>
      </w:pPr>
      <w:r>
        <w:rPr>
          <w:rFonts w:hint="eastAsia"/>
          <w:color w:val="auto"/>
          <w:lang w:eastAsia="zh-CN"/>
        </w:rPr>
        <w:t>4</w:t>
      </w:r>
      <w:r>
        <w:rPr>
          <w:color w:val="auto"/>
        </w:rPr>
        <w:t>、授予价格：</w:t>
      </w:r>
      <w:r>
        <w:rPr>
          <w:color w:val="auto"/>
          <w:lang w:eastAsia="zh-CN"/>
        </w:rPr>
        <w:t>4</w:t>
      </w:r>
      <w:r>
        <w:rPr>
          <w:color w:val="auto"/>
        </w:rPr>
        <w:t>.</w:t>
      </w:r>
      <w:r>
        <w:rPr>
          <w:color w:val="auto"/>
          <w:lang w:eastAsia="zh-CN"/>
        </w:rPr>
        <w:t>65</w:t>
      </w:r>
      <w:r>
        <w:rPr>
          <w:color w:val="auto"/>
        </w:rPr>
        <w:t>元/股。</w:t>
      </w:r>
    </w:p>
    <w:p>
      <w:pPr>
        <w:pStyle w:val="4"/>
        <w:spacing w:afterLines="50" w:line="338" w:lineRule="auto"/>
        <w:ind w:firstLine="439" w:firstLineChars="183"/>
        <w:rPr>
          <w:color w:val="auto"/>
          <w:lang w:eastAsia="zh-CN"/>
        </w:rPr>
      </w:pPr>
      <w:r>
        <w:rPr>
          <w:rFonts w:hint="eastAsia" w:ascii="Times New Roman"/>
          <w:color w:val="auto"/>
          <w:lang w:eastAsia="zh-CN"/>
        </w:rPr>
        <w:t>5</w:t>
      </w:r>
      <w:r>
        <w:rPr>
          <w:color w:val="auto"/>
          <w:spacing w:val="-7"/>
          <w:lang w:eastAsia="zh-CN"/>
        </w:rPr>
        <w:t>、股票来源：</w:t>
      </w:r>
      <w:r>
        <w:rPr>
          <w:rFonts w:hint="eastAsia" w:asciiTheme="minorEastAsia" w:hAnsiTheme="minorEastAsia"/>
          <w:color w:val="auto"/>
          <w:lang w:eastAsia="zh-CN"/>
        </w:rPr>
        <w:t>公司自二级市场回购的公司</w:t>
      </w:r>
      <w:r>
        <w:rPr>
          <w:rFonts w:asciiTheme="minorEastAsia" w:hAnsiTheme="minorEastAsia"/>
          <w:color w:val="auto"/>
          <w:lang w:eastAsia="zh-CN"/>
        </w:rPr>
        <w:t>A</w:t>
      </w:r>
      <w:r>
        <w:rPr>
          <w:rFonts w:hint="eastAsia" w:asciiTheme="minorEastAsia" w:hAnsiTheme="minorEastAsia"/>
          <w:color w:val="auto"/>
          <w:lang w:eastAsia="zh-CN"/>
        </w:rPr>
        <w:t>股普通股股票</w:t>
      </w:r>
      <w:r>
        <w:rPr>
          <w:color w:val="auto"/>
          <w:lang w:eastAsia="zh-CN"/>
        </w:rPr>
        <w:t>。</w:t>
      </w:r>
    </w:p>
    <w:p>
      <w:pPr>
        <w:pStyle w:val="4"/>
        <w:spacing w:before="55" w:afterLines="50"/>
        <w:ind w:firstLine="439" w:firstLineChars="183"/>
        <w:rPr>
          <w:color w:val="auto"/>
          <w:lang w:eastAsia="zh-CN"/>
        </w:rPr>
      </w:pPr>
      <w:r>
        <w:rPr>
          <w:rFonts w:hint="eastAsia" w:ascii="Times New Roman"/>
          <w:color w:val="auto"/>
          <w:lang w:eastAsia="zh-CN"/>
        </w:rPr>
        <w:t>6</w:t>
      </w:r>
      <w:r>
        <w:rPr>
          <w:color w:val="auto"/>
          <w:lang w:eastAsia="zh-CN"/>
        </w:rPr>
        <w:t>、本次激励计划实施后，将不会导致股权分布不符合上市公司条件要求。</w:t>
      </w:r>
    </w:p>
    <w:p>
      <w:pPr>
        <w:pStyle w:val="4"/>
        <w:spacing w:before="136" w:afterLines="50"/>
        <w:ind w:firstLine="439" w:firstLineChars="183"/>
        <w:rPr>
          <w:color w:val="auto"/>
          <w:lang w:eastAsia="zh-CN"/>
        </w:rPr>
      </w:pPr>
      <w:r>
        <w:rPr>
          <w:rFonts w:hint="eastAsia" w:ascii="Times New Roman"/>
          <w:color w:val="auto"/>
          <w:lang w:eastAsia="zh-CN"/>
        </w:rPr>
        <w:t>7</w:t>
      </w:r>
      <w:r>
        <w:rPr>
          <w:color w:val="auto"/>
          <w:lang w:eastAsia="zh-CN"/>
        </w:rPr>
        <w:t>、本次激励计划的有效期、限售期、解除限售安排</w:t>
      </w:r>
      <w:r>
        <w:rPr>
          <w:rFonts w:hint="eastAsia"/>
          <w:color w:val="auto"/>
          <w:lang w:eastAsia="zh-CN"/>
        </w:rPr>
        <w:t>：</w:t>
      </w:r>
    </w:p>
    <w:p>
      <w:pPr>
        <w:pStyle w:val="4"/>
        <w:spacing w:before="136" w:afterLines="50" w:line="357" w:lineRule="auto"/>
        <w:ind w:firstLine="439" w:firstLineChars="183"/>
        <w:rPr>
          <w:color w:val="auto"/>
          <w:lang w:eastAsia="zh-CN"/>
        </w:rPr>
      </w:pPr>
      <w:r>
        <w:rPr>
          <w:color w:val="auto"/>
          <w:lang w:eastAsia="zh-CN"/>
        </w:rPr>
        <w:t>本次激励计划有效期为限制性股票授予完成登记之日起至所有限制性股票解除限售或回购注销完毕之日止，最长不超过</w:t>
      </w:r>
      <w:r>
        <w:rPr>
          <w:rFonts w:ascii="Times New Roman" w:eastAsia="Times New Roman"/>
          <w:color w:val="auto"/>
          <w:lang w:eastAsia="zh-CN"/>
        </w:rPr>
        <w:t>36</w:t>
      </w:r>
      <w:r>
        <w:rPr>
          <w:color w:val="auto"/>
          <w:lang w:eastAsia="zh-CN"/>
        </w:rPr>
        <w:t>个月。</w:t>
      </w:r>
    </w:p>
    <w:p>
      <w:pPr>
        <w:pStyle w:val="4"/>
        <w:spacing w:afterLines="50"/>
        <w:ind w:firstLine="439" w:firstLineChars="183"/>
        <w:rPr>
          <w:color w:val="auto"/>
          <w:lang w:eastAsia="zh-CN"/>
        </w:rPr>
      </w:pPr>
      <w:r>
        <w:rPr>
          <w:color w:val="auto"/>
          <w:lang w:eastAsia="zh-CN"/>
        </w:rPr>
        <w:t>本次激励计划的解除限售安排如下：</w:t>
      </w:r>
    </w:p>
    <w:p>
      <w:pPr>
        <w:pStyle w:val="4"/>
        <w:spacing w:before="8" w:afterLines="50"/>
        <w:ind w:firstLine="146" w:firstLineChars="183"/>
        <w:rPr>
          <w:color w:val="auto"/>
          <w:sz w:val="8"/>
          <w:lang w:eastAsia="zh-CN"/>
        </w:rPr>
      </w:pPr>
    </w:p>
    <w:tbl>
      <w:tblPr>
        <w:tblStyle w:val="13"/>
        <w:tblW w:w="83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2864"/>
        <w:gridCol w:w="3828"/>
        <w:gridCol w:w="16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3" w:hRule="exact"/>
          <w:jc w:val="center"/>
        </w:trPr>
        <w:tc>
          <w:tcPr>
            <w:tcW w:w="2864" w:type="dxa"/>
            <w:shd w:val="clear" w:color="auto" w:fill="D9D9D9"/>
            <w:vAlign w:val="center"/>
          </w:tcPr>
          <w:p>
            <w:pPr>
              <w:spacing w:before="26"/>
              <w:jc w:val="center"/>
              <w:rPr>
                <w:b/>
                <w:color w:val="auto"/>
                <w:szCs w:val="21"/>
              </w:rPr>
            </w:pPr>
            <w:r>
              <w:rPr>
                <w:b/>
                <w:color w:val="auto"/>
                <w:w w:val="95"/>
                <w:szCs w:val="21"/>
              </w:rPr>
              <w:t>解除限售安排</w:t>
            </w:r>
          </w:p>
        </w:tc>
        <w:tc>
          <w:tcPr>
            <w:tcW w:w="3828" w:type="dxa"/>
            <w:shd w:val="clear" w:color="auto" w:fill="D9D9D9"/>
            <w:vAlign w:val="center"/>
          </w:tcPr>
          <w:p>
            <w:pPr>
              <w:spacing w:before="26"/>
              <w:jc w:val="center"/>
              <w:rPr>
                <w:b/>
                <w:color w:val="auto"/>
                <w:szCs w:val="21"/>
              </w:rPr>
            </w:pPr>
            <w:r>
              <w:rPr>
                <w:b/>
                <w:color w:val="auto"/>
                <w:w w:val="95"/>
                <w:szCs w:val="21"/>
              </w:rPr>
              <w:t>解除限售时间</w:t>
            </w:r>
          </w:p>
        </w:tc>
        <w:tc>
          <w:tcPr>
            <w:tcW w:w="1672" w:type="dxa"/>
            <w:shd w:val="clear" w:color="auto" w:fill="D9D9D9"/>
            <w:vAlign w:val="center"/>
          </w:tcPr>
          <w:p>
            <w:pPr>
              <w:spacing w:before="26"/>
              <w:jc w:val="center"/>
              <w:rPr>
                <w:b/>
                <w:color w:val="auto"/>
                <w:szCs w:val="21"/>
              </w:rPr>
            </w:pPr>
            <w:r>
              <w:rPr>
                <w:b/>
                <w:color w:val="auto"/>
                <w:w w:val="95"/>
                <w:szCs w:val="21"/>
              </w:rPr>
              <w:t>解除限售比例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54" w:hRule="exact"/>
          <w:jc w:val="center"/>
        </w:trPr>
        <w:tc>
          <w:tcPr>
            <w:tcW w:w="2864" w:type="dxa"/>
            <w:vAlign w:val="center"/>
          </w:tcPr>
          <w:p>
            <w:pPr>
              <w:spacing w:before="158"/>
              <w:jc w:val="center"/>
              <w:rPr>
                <w:color w:val="auto"/>
                <w:szCs w:val="21"/>
                <w:lang w:eastAsia="zh-CN"/>
              </w:rPr>
            </w:pPr>
            <w:r>
              <w:rPr>
                <w:color w:val="auto"/>
                <w:szCs w:val="21"/>
                <w:lang w:eastAsia="zh-CN"/>
              </w:rPr>
              <w:t>限制性股票第一个解除限售期</w:t>
            </w:r>
          </w:p>
        </w:tc>
        <w:tc>
          <w:tcPr>
            <w:tcW w:w="3828" w:type="dxa"/>
            <w:vAlign w:val="center"/>
          </w:tcPr>
          <w:p>
            <w:pPr>
              <w:rPr>
                <w:color w:val="auto"/>
                <w:szCs w:val="21"/>
                <w:lang w:eastAsia="zh-CN"/>
              </w:rPr>
            </w:pPr>
            <w:r>
              <w:rPr>
                <w:color w:val="auto"/>
                <w:szCs w:val="21"/>
                <w:lang w:eastAsia="zh-CN"/>
              </w:rPr>
              <w:t>自</w:t>
            </w:r>
            <w:r>
              <w:rPr>
                <w:rFonts w:hint="eastAsia"/>
                <w:color w:val="auto"/>
                <w:szCs w:val="21"/>
                <w:lang w:eastAsia="zh-CN"/>
              </w:rPr>
              <w:t>预留</w:t>
            </w:r>
            <w:r>
              <w:rPr>
                <w:color w:val="auto"/>
                <w:szCs w:val="21"/>
                <w:lang w:eastAsia="zh-CN"/>
              </w:rPr>
              <w:t>授予登记完成之日起满12个月后的首个交易日起至</w:t>
            </w:r>
            <w:r>
              <w:rPr>
                <w:rFonts w:hint="eastAsia"/>
                <w:color w:val="auto"/>
                <w:szCs w:val="21"/>
                <w:lang w:eastAsia="zh-CN"/>
              </w:rPr>
              <w:t>预留</w:t>
            </w:r>
            <w:r>
              <w:rPr>
                <w:color w:val="auto"/>
                <w:szCs w:val="21"/>
                <w:lang w:eastAsia="zh-CN"/>
              </w:rPr>
              <w:t>授予登记完成之日24个月内的最后一个交易日当日止</w:t>
            </w:r>
          </w:p>
        </w:tc>
        <w:tc>
          <w:tcPr>
            <w:tcW w:w="1672" w:type="dxa"/>
            <w:vAlign w:val="center"/>
          </w:tcPr>
          <w:p>
            <w:pPr>
              <w:spacing w:before="158"/>
              <w:jc w:val="center"/>
              <w:rPr>
                <w:color w:val="auto"/>
                <w:szCs w:val="21"/>
              </w:rPr>
            </w:pPr>
            <w:r>
              <w:rPr>
                <w:color w:val="auto"/>
                <w:szCs w:val="21"/>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40" w:hRule="exact"/>
          <w:jc w:val="center"/>
        </w:trPr>
        <w:tc>
          <w:tcPr>
            <w:tcW w:w="2864" w:type="dxa"/>
            <w:vAlign w:val="center"/>
          </w:tcPr>
          <w:p>
            <w:pPr>
              <w:spacing w:before="158"/>
              <w:jc w:val="center"/>
              <w:rPr>
                <w:color w:val="auto"/>
                <w:szCs w:val="21"/>
                <w:lang w:eastAsia="zh-CN"/>
              </w:rPr>
            </w:pPr>
            <w:r>
              <w:rPr>
                <w:color w:val="auto"/>
                <w:szCs w:val="21"/>
                <w:lang w:eastAsia="zh-CN"/>
              </w:rPr>
              <w:t>限制性股票第二个解除限售期</w:t>
            </w:r>
          </w:p>
        </w:tc>
        <w:tc>
          <w:tcPr>
            <w:tcW w:w="3828" w:type="dxa"/>
            <w:vAlign w:val="center"/>
          </w:tcPr>
          <w:p>
            <w:pPr>
              <w:rPr>
                <w:color w:val="auto"/>
                <w:szCs w:val="21"/>
                <w:lang w:eastAsia="zh-CN"/>
              </w:rPr>
            </w:pPr>
            <w:r>
              <w:rPr>
                <w:color w:val="auto"/>
                <w:szCs w:val="21"/>
                <w:lang w:eastAsia="zh-CN"/>
              </w:rPr>
              <w:t>自</w:t>
            </w:r>
            <w:r>
              <w:rPr>
                <w:rFonts w:hint="eastAsia"/>
                <w:color w:val="auto"/>
                <w:szCs w:val="21"/>
                <w:lang w:eastAsia="zh-CN"/>
              </w:rPr>
              <w:t>预留</w:t>
            </w:r>
            <w:r>
              <w:rPr>
                <w:color w:val="auto"/>
                <w:szCs w:val="21"/>
                <w:lang w:eastAsia="zh-CN"/>
              </w:rPr>
              <w:t>授予登记完成之日起满24个月后的首个交易日起至</w:t>
            </w:r>
            <w:r>
              <w:rPr>
                <w:rFonts w:hint="eastAsia"/>
                <w:color w:val="auto"/>
                <w:szCs w:val="21"/>
                <w:lang w:eastAsia="zh-CN"/>
              </w:rPr>
              <w:t>预留</w:t>
            </w:r>
            <w:r>
              <w:rPr>
                <w:color w:val="auto"/>
                <w:szCs w:val="21"/>
                <w:lang w:eastAsia="zh-CN"/>
              </w:rPr>
              <w:t>授予登记完成之日36个月内的最后一个交易日当日止</w:t>
            </w:r>
          </w:p>
        </w:tc>
        <w:tc>
          <w:tcPr>
            <w:tcW w:w="1672" w:type="dxa"/>
            <w:vAlign w:val="center"/>
          </w:tcPr>
          <w:p>
            <w:pPr>
              <w:spacing w:before="158"/>
              <w:jc w:val="center"/>
              <w:rPr>
                <w:color w:val="auto"/>
                <w:szCs w:val="21"/>
              </w:rPr>
            </w:pPr>
            <w:r>
              <w:rPr>
                <w:color w:val="auto"/>
                <w:szCs w:val="21"/>
              </w:rPr>
              <w:t>50%</w:t>
            </w:r>
          </w:p>
        </w:tc>
      </w:tr>
    </w:tbl>
    <w:p>
      <w:pPr>
        <w:pStyle w:val="4"/>
        <w:spacing w:before="21" w:afterLines="50"/>
        <w:ind w:firstLine="439" w:firstLineChars="183"/>
        <w:rPr>
          <w:rFonts w:ascii="Times New Roman"/>
          <w:color w:val="auto"/>
          <w:lang w:eastAsia="zh-CN"/>
        </w:rPr>
      </w:pPr>
    </w:p>
    <w:p>
      <w:pPr>
        <w:pStyle w:val="4"/>
        <w:spacing w:before="21" w:afterLines="50"/>
        <w:ind w:firstLine="439" w:firstLineChars="183"/>
        <w:rPr>
          <w:color w:val="auto"/>
        </w:rPr>
      </w:pPr>
      <w:r>
        <w:rPr>
          <w:rFonts w:hint="eastAsia" w:ascii="Times New Roman"/>
          <w:color w:val="auto"/>
          <w:lang w:eastAsia="zh-CN"/>
        </w:rPr>
        <w:t>8</w:t>
      </w:r>
      <w:r>
        <w:rPr>
          <w:color w:val="auto"/>
        </w:rPr>
        <w:t>、解除限售条件</w:t>
      </w:r>
    </w:p>
    <w:p>
      <w:pPr>
        <w:pStyle w:val="4"/>
        <w:spacing w:afterLines="50" w:line="360" w:lineRule="auto"/>
        <w:rPr>
          <w:color w:val="auto"/>
          <w:spacing w:val="-10"/>
          <w:lang w:eastAsia="zh-CN"/>
        </w:rPr>
      </w:pPr>
      <w:r>
        <w:rPr>
          <w:color w:val="auto"/>
          <w:spacing w:val="-10"/>
          <w:lang w:eastAsia="zh-CN"/>
        </w:rPr>
        <w:t>解除限售期内，同时满足下列条件时，激励对象获授的限制性股票方可解除限售：</w:t>
      </w:r>
    </w:p>
    <w:p>
      <w:pPr>
        <w:pStyle w:val="4"/>
        <w:spacing w:afterLines="50" w:line="360" w:lineRule="auto"/>
        <w:ind w:firstLine="440" w:firstLineChars="200"/>
        <w:rPr>
          <w:color w:val="auto"/>
          <w:spacing w:val="-10"/>
          <w:lang w:eastAsia="zh-CN"/>
        </w:rPr>
      </w:pPr>
      <w:r>
        <w:rPr>
          <w:color w:val="auto"/>
          <w:spacing w:val="-10"/>
          <w:lang w:eastAsia="zh-CN"/>
        </w:rPr>
        <w:t>（一）公司未发生如下任一情形：</w:t>
      </w:r>
    </w:p>
    <w:p>
      <w:pPr>
        <w:pStyle w:val="4"/>
        <w:spacing w:afterLines="50" w:line="360" w:lineRule="auto"/>
        <w:ind w:firstLine="440" w:firstLineChars="200"/>
        <w:rPr>
          <w:color w:val="auto"/>
          <w:spacing w:val="-10"/>
          <w:lang w:eastAsia="zh-CN"/>
        </w:rPr>
      </w:pPr>
      <w:r>
        <w:rPr>
          <w:rFonts w:hint="eastAsia"/>
          <w:color w:val="auto"/>
          <w:spacing w:val="-10"/>
          <w:lang w:eastAsia="zh-CN"/>
        </w:rPr>
        <w:t>（1）</w:t>
      </w:r>
      <w:r>
        <w:rPr>
          <w:color w:val="auto"/>
          <w:spacing w:val="-10"/>
          <w:lang w:eastAsia="zh-CN"/>
        </w:rPr>
        <w:t>最近一个会计年度财务会计报告被注册会计师出具否定意见或者无法表示意见的审计报告；</w:t>
      </w:r>
    </w:p>
    <w:p>
      <w:pPr>
        <w:pStyle w:val="4"/>
        <w:spacing w:afterLines="50" w:line="360" w:lineRule="auto"/>
        <w:ind w:firstLine="440" w:firstLineChars="200"/>
        <w:rPr>
          <w:color w:val="auto"/>
          <w:spacing w:val="-10"/>
          <w:lang w:eastAsia="zh-CN"/>
        </w:rPr>
      </w:pPr>
      <w:r>
        <w:rPr>
          <w:rFonts w:hint="eastAsia"/>
          <w:color w:val="auto"/>
          <w:spacing w:val="-10"/>
          <w:lang w:eastAsia="zh-CN"/>
        </w:rPr>
        <w:t>（2）</w:t>
      </w:r>
      <w:r>
        <w:rPr>
          <w:color w:val="auto"/>
          <w:spacing w:val="-10"/>
          <w:lang w:eastAsia="zh-CN"/>
        </w:rPr>
        <w:t>最近一个会计年度财务报告内部控制被注册会计师出具否定意见或者无法表示意见的审计报告；</w:t>
      </w:r>
    </w:p>
    <w:p>
      <w:pPr>
        <w:pStyle w:val="4"/>
        <w:spacing w:afterLines="50" w:line="360" w:lineRule="auto"/>
        <w:ind w:firstLine="440" w:firstLineChars="200"/>
        <w:rPr>
          <w:color w:val="auto"/>
          <w:spacing w:val="-10"/>
          <w:lang w:eastAsia="zh-CN"/>
        </w:rPr>
      </w:pPr>
      <w:r>
        <w:rPr>
          <w:rFonts w:hint="eastAsia"/>
          <w:color w:val="auto"/>
          <w:spacing w:val="-10"/>
          <w:lang w:eastAsia="zh-CN"/>
        </w:rPr>
        <w:t>（3）</w:t>
      </w:r>
      <w:r>
        <w:rPr>
          <w:color w:val="auto"/>
          <w:spacing w:val="-10"/>
          <w:lang w:eastAsia="zh-CN"/>
        </w:rPr>
        <w:t>上市后最近36个月内出现过未按法律法规、公司章程、公开承诺进行利润分配的情形；</w:t>
      </w:r>
    </w:p>
    <w:p>
      <w:pPr>
        <w:pStyle w:val="4"/>
        <w:spacing w:afterLines="50" w:line="360" w:lineRule="auto"/>
        <w:ind w:firstLine="440" w:firstLineChars="200"/>
        <w:rPr>
          <w:color w:val="auto"/>
          <w:spacing w:val="-10"/>
          <w:lang w:eastAsia="zh-CN"/>
        </w:rPr>
      </w:pPr>
      <w:r>
        <w:rPr>
          <w:rFonts w:hint="eastAsia"/>
          <w:color w:val="auto"/>
          <w:spacing w:val="-10"/>
          <w:lang w:eastAsia="zh-CN"/>
        </w:rPr>
        <w:t>（4）</w:t>
      </w:r>
      <w:r>
        <w:rPr>
          <w:color w:val="auto"/>
          <w:spacing w:val="-10"/>
          <w:lang w:eastAsia="zh-CN"/>
        </w:rPr>
        <w:t>法律法规规定不得实行股权激励的；</w:t>
      </w:r>
    </w:p>
    <w:p>
      <w:pPr>
        <w:pStyle w:val="4"/>
        <w:spacing w:afterLines="50" w:line="360" w:lineRule="auto"/>
        <w:ind w:firstLine="440" w:firstLineChars="200"/>
        <w:rPr>
          <w:color w:val="auto"/>
          <w:spacing w:val="-10"/>
          <w:lang w:eastAsia="zh-CN"/>
        </w:rPr>
      </w:pPr>
      <w:r>
        <w:rPr>
          <w:rFonts w:hint="eastAsia"/>
          <w:color w:val="auto"/>
          <w:spacing w:val="-10"/>
          <w:lang w:eastAsia="zh-CN"/>
        </w:rPr>
        <w:t>（5）</w:t>
      </w:r>
      <w:r>
        <w:rPr>
          <w:color w:val="auto"/>
          <w:spacing w:val="-10"/>
          <w:lang w:eastAsia="zh-CN"/>
        </w:rPr>
        <w:t>中国证监会认定的其他情形。</w:t>
      </w:r>
    </w:p>
    <w:p>
      <w:pPr>
        <w:pStyle w:val="4"/>
        <w:spacing w:afterLines="50" w:line="360" w:lineRule="auto"/>
        <w:ind w:firstLine="440" w:firstLineChars="200"/>
        <w:rPr>
          <w:color w:val="auto"/>
          <w:spacing w:val="-10"/>
          <w:lang w:eastAsia="zh-CN"/>
        </w:rPr>
      </w:pPr>
      <w:r>
        <w:rPr>
          <w:color w:val="auto"/>
          <w:spacing w:val="-10"/>
          <w:lang w:eastAsia="zh-CN"/>
        </w:rPr>
        <w:t>（二）激励对象未发生如下任一情形：</w:t>
      </w:r>
    </w:p>
    <w:p>
      <w:pPr>
        <w:pStyle w:val="4"/>
        <w:spacing w:afterLines="50" w:line="360" w:lineRule="auto"/>
        <w:ind w:firstLine="440" w:firstLineChars="200"/>
        <w:rPr>
          <w:color w:val="auto"/>
          <w:spacing w:val="-10"/>
          <w:lang w:eastAsia="zh-CN"/>
        </w:rPr>
      </w:pPr>
      <w:r>
        <w:rPr>
          <w:rFonts w:hint="eastAsia"/>
          <w:color w:val="auto"/>
          <w:spacing w:val="-10"/>
          <w:lang w:eastAsia="zh-CN"/>
        </w:rPr>
        <w:t>（1）</w:t>
      </w:r>
      <w:r>
        <w:rPr>
          <w:color w:val="auto"/>
          <w:spacing w:val="-10"/>
          <w:lang w:eastAsia="zh-CN"/>
        </w:rPr>
        <w:t>最近12个月内被证券交易所认定为不适当人选；</w:t>
      </w:r>
    </w:p>
    <w:p>
      <w:pPr>
        <w:pStyle w:val="4"/>
        <w:spacing w:afterLines="50" w:line="360" w:lineRule="auto"/>
        <w:ind w:firstLine="440" w:firstLineChars="200"/>
        <w:rPr>
          <w:color w:val="auto"/>
          <w:spacing w:val="-10"/>
          <w:lang w:eastAsia="zh-CN"/>
        </w:rPr>
      </w:pPr>
      <w:r>
        <w:rPr>
          <w:rFonts w:hint="eastAsia"/>
          <w:color w:val="auto"/>
          <w:spacing w:val="-10"/>
          <w:lang w:eastAsia="zh-CN"/>
        </w:rPr>
        <w:t>（2）</w:t>
      </w:r>
      <w:r>
        <w:rPr>
          <w:color w:val="auto"/>
          <w:spacing w:val="-10"/>
          <w:lang w:eastAsia="zh-CN"/>
        </w:rPr>
        <w:t>最近12个月内被中国证监会及其派出机构认定为不适当人选；</w:t>
      </w:r>
    </w:p>
    <w:p>
      <w:pPr>
        <w:pStyle w:val="4"/>
        <w:spacing w:afterLines="50" w:line="360" w:lineRule="auto"/>
        <w:ind w:firstLine="440" w:firstLineChars="200"/>
        <w:rPr>
          <w:color w:val="auto"/>
          <w:spacing w:val="-10"/>
          <w:lang w:eastAsia="zh-CN"/>
        </w:rPr>
      </w:pPr>
      <w:r>
        <w:rPr>
          <w:rFonts w:hint="eastAsia"/>
          <w:color w:val="auto"/>
          <w:spacing w:val="-10"/>
          <w:lang w:eastAsia="zh-CN"/>
        </w:rPr>
        <w:t>（3）</w:t>
      </w:r>
      <w:r>
        <w:rPr>
          <w:color w:val="auto"/>
          <w:spacing w:val="-10"/>
          <w:lang w:eastAsia="zh-CN"/>
        </w:rPr>
        <w:t>最近12个月内因重大违法违规行为被中国证监会及其派出机构行政处罚或者采取市场禁入措施；</w:t>
      </w:r>
    </w:p>
    <w:p>
      <w:pPr>
        <w:pStyle w:val="4"/>
        <w:spacing w:afterLines="50" w:line="360" w:lineRule="auto"/>
        <w:ind w:firstLine="440" w:firstLineChars="200"/>
        <w:rPr>
          <w:color w:val="auto"/>
          <w:spacing w:val="-10"/>
          <w:lang w:eastAsia="zh-CN"/>
        </w:rPr>
      </w:pPr>
      <w:r>
        <w:rPr>
          <w:rFonts w:hint="eastAsia"/>
          <w:color w:val="auto"/>
          <w:spacing w:val="-10"/>
          <w:lang w:eastAsia="zh-CN"/>
        </w:rPr>
        <w:t>（4）</w:t>
      </w:r>
      <w:r>
        <w:rPr>
          <w:color w:val="auto"/>
          <w:spacing w:val="-10"/>
          <w:lang w:eastAsia="zh-CN"/>
        </w:rPr>
        <w:t>具有《公司法》规定的不得担任公司董事、高级管理人员情形的；</w:t>
      </w:r>
    </w:p>
    <w:p>
      <w:pPr>
        <w:pStyle w:val="4"/>
        <w:spacing w:afterLines="50" w:line="360" w:lineRule="auto"/>
        <w:ind w:firstLine="440" w:firstLineChars="200"/>
        <w:rPr>
          <w:color w:val="auto"/>
          <w:spacing w:val="-10"/>
          <w:lang w:eastAsia="zh-CN"/>
        </w:rPr>
      </w:pPr>
      <w:r>
        <w:rPr>
          <w:rFonts w:hint="eastAsia"/>
          <w:color w:val="auto"/>
          <w:spacing w:val="-10"/>
          <w:lang w:eastAsia="zh-CN"/>
        </w:rPr>
        <w:t>（5）</w:t>
      </w:r>
      <w:r>
        <w:rPr>
          <w:color w:val="auto"/>
          <w:spacing w:val="-10"/>
          <w:lang w:eastAsia="zh-CN"/>
        </w:rPr>
        <w:t>法律法规规定不得参与上市公司股权激励的；</w:t>
      </w:r>
    </w:p>
    <w:p>
      <w:pPr>
        <w:pStyle w:val="4"/>
        <w:spacing w:afterLines="50" w:line="360" w:lineRule="auto"/>
        <w:ind w:firstLine="440" w:firstLineChars="200"/>
        <w:rPr>
          <w:color w:val="auto"/>
          <w:spacing w:val="-10"/>
          <w:lang w:eastAsia="zh-CN"/>
        </w:rPr>
      </w:pPr>
      <w:r>
        <w:rPr>
          <w:rFonts w:hint="eastAsia"/>
          <w:color w:val="auto"/>
          <w:spacing w:val="-10"/>
          <w:lang w:eastAsia="zh-CN"/>
        </w:rPr>
        <w:t>（6）</w:t>
      </w:r>
      <w:r>
        <w:rPr>
          <w:color w:val="auto"/>
          <w:spacing w:val="-10"/>
          <w:lang w:eastAsia="zh-CN"/>
        </w:rPr>
        <w:t>中国证监会认定的其他情形。</w:t>
      </w:r>
    </w:p>
    <w:p>
      <w:pPr>
        <w:pStyle w:val="4"/>
        <w:spacing w:afterLines="50" w:line="360" w:lineRule="auto"/>
        <w:ind w:firstLine="440" w:firstLineChars="200"/>
        <w:rPr>
          <w:color w:val="auto"/>
          <w:spacing w:val="-10"/>
          <w:lang w:eastAsia="zh-CN"/>
        </w:rPr>
      </w:pPr>
      <w:r>
        <w:rPr>
          <w:color w:val="auto"/>
          <w:spacing w:val="-10"/>
          <w:lang w:eastAsia="zh-CN"/>
        </w:rPr>
        <w:t>公司发生上述第（一）条规定情形之一的，所有激励对象根据本激励计划已获授但尚未解除限售的限制性股票应当由公司回购注销；某一激励对象发生上述第（二）条规定情形之一的，该激励对象根据本激励计划已获授但尚未解除限售的限制性股票应当由公司回购注销。</w:t>
      </w:r>
    </w:p>
    <w:p>
      <w:pPr>
        <w:pStyle w:val="4"/>
        <w:spacing w:afterLines="50" w:line="360" w:lineRule="auto"/>
        <w:rPr>
          <w:color w:val="auto"/>
          <w:spacing w:val="-10"/>
          <w:lang w:eastAsia="zh-CN"/>
        </w:rPr>
      </w:pPr>
      <w:bookmarkStart w:id="2" w:name="三、本次授予股份认购资金的验资情况"/>
      <w:bookmarkEnd w:id="2"/>
      <w:r>
        <w:rPr>
          <w:color w:val="auto"/>
          <w:spacing w:val="-10"/>
          <w:lang w:eastAsia="zh-CN"/>
        </w:rPr>
        <w:t>（三）公司层面业绩考核要求</w:t>
      </w:r>
    </w:p>
    <w:p>
      <w:pPr>
        <w:pStyle w:val="4"/>
        <w:spacing w:beforeLines="50" w:afterLines="50" w:line="360" w:lineRule="auto"/>
        <w:ind w:firstLine="440" w:firstLineChars="200"/>
        <w:rPr>
          <w:rFonts w:asciiTheme="minorEastAsia" w:hAnsiTheme="minorEastAsia"/>
          <w:color w:val="auto"/>
        </w:rPr>
      </w:pPr>
      <w:r>
        <w:rPr>
          <w:color w:val="auto"/>
          <w:spacing w:val="-10"/>
          <w:lang w:eastAsia="zh-CN"/>
        </w:rPr>
        <w:t>本激励计划的解除限售考核年度为</w:t>
      </w:r>
      <w:r>
        <w:rPr>
          <w:rFonts w:asciiTheme="minorEastAsia" w:hAnsiTheme="minorEastAsia"/>
          <w:color w:val="auto"/>
          <w:spacing w:val="-10"/>
          <w:lang w:eastAsia="zh-CN"/>
        </w:rPr>
        <w:t>2022-2023</w:t>
      </w:r>
      <w:r>
        <w:rPr>
          <w:color w:val="auto"/>
          <w:spacing w:val="-10"/>
          <w:lang w:eastAsia="zh-CN"/>
        </w:rPr>
        <w:t>年</w:t>
      </w:r>
      <w:r>
        <w:rPr>
          <w:rFonts w:hint="eastAsia"/>
          <w:color w:val="auto"/>
          <w:spacing w:val="-10"/>
          <w:lang w:eastAsia="zh-CN"/>
        </w:rPr>
        <w:t>两</w:t>
      </w:r>
      <w:r>
        <w:rPr>
          <w:color w:val="auto"/>
          <w:spacing w:val="-10"/>
          <w:lang w:eastAsia="zh-CN"/>
        </w:rPr>
        <w:t>个会计年度，每个会计年度考核一次，以达到绩效考核目标作为解除限售条件。</w:t>
      </w:r>
      <w:r>
        <w:rPr>
          <w:rFonts w:hint="eastAsia" w:asciiTheme="minorEastAsia" w:hAnsiTheme="minorEastAsia"/>
          <w:color w:val="auto"/>
        </w:rPr>
        <w:t>具体如下：</w:t>
      </w:r>
    </w:p>
    <w:tbl>
      <w:tblPr>
        <w:tblStyle w:val="1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3609"/>
        <w:gridCol w:w="47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3" w:hRule="exact"/>
          <w:jc w:val="center"/>
        </w:trPr>
        <w:tc>
          <w:tcPr>
            <w:tcW w:w="2169" w:type="pct"/>
            <w:shd w:val="clear" w:color="auto" w:fill="D9D9D9"/>
            <w:vAlign w:val="center"/>
          </w:tcPr>
          <w:p>
            <w:pPr>
              <w:spacing w:before="26"/>
              <w:jc w:val="center"/>
              <w:rPr>
                <w:b/>
                <w:color w:val="auto"/>
                <w:szCs w:val="21"/>
              </w:rPr>
            </w:pPr>
            <w:r>
              <w:rPr>
                <w:b/>
                <w:color w:val="auto"/>
                <w:w w:val="95"/>
                <w:szCs w:val="21"/>
              </w:rPr>
              <w:t>解除</w:t>
            </w:r>
            <w:r>
              <w:rPr>
                <w:rFonts w:hint="eastAsia"/>
                <w:b/>
                <w:color w:val="auto"/>
                <w:w w:val="95"/>
                <w:szCs w:val="21"/>
              </w:rPr>
              <w:t>限售期</w:t>
            </w:r>
          </w:p>
        </w:tc>
        <w:tc>
          <w:tcPr>
            <w:tcW w:w="2831" w:type="pct"/>
            <w:shd w:val="clear" w:color="auto" w:fill="D9D9D9"/>
            <w:vAlign w:val="center"/>
          </w:tcPr>
          <w:p>
            <w:pPr>
              <w:spacing w:before="26"/>
              <w:jc w:val="center"/>
              <w:rPr>
                <w:b/>
                <w:color w:val="auto"/>
                <w:szCs w:val="21"/>
              </w:rPr>
            </w:pPr>
            <w:r>
              <w:rPr>
                <w:rFonts w:hint="eastAsia"/>
                <w:b/>
                <w:color w:val="auto"/>
                <w:w w:val="95"/>
                <w:szCs w:val="21"/>
              </w:rPr>
              <w:t>业绩考核目标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67" w:hRule="exact"/>
          <w:jc w:val="center"/>
        </w:trPr>
        <w:tc>
          <w:tcPr>
            <w:tcW w:w="2169" w:type="pct"/>
            <w:vAlign w:val="center"/>
          </w:tcPr>
          <w:p>
            <w:pPr>
              <w:spacing w:before="158"/>
              <w:jc w:val="center"/>
              <w:rPr>
                <w:color w:val="auto"/>
                <w:szCs w:val="21"/>
                <w:lang w:eastAsia="zh-CN"/>
              </w:rPr>
            </w:pPr>
            <w:r>
              <w:rPr>
                <w:rFonts w:hint="eastAsia"/>
                <w:color w:val="auto"/>
                <w:szCs w:val="21"/>
                <w:lang w:eastAsia="zh-CN"/>
              </w:rPr>
              <w:t>预留授予限制性股票第一个解除限售期</w:t>
            </w:r>
          </w:p>
        </w:tc>
        <w:tc>
          <w:tcPr>
            <w:tcW w:w="2831" w:type="pct"/>
            <w:vAlign w:val="center"/>
          </w:tcPr>
          <w:p>
            <w:pPr>
              <w:rPr>
                <w:color w:val="auto"/>
                <w:szCs w:val="21"/>
                <w:lang w:eastAsia="zh-CN"/>
              </w:rPr>
            </w:pPr>
            <w:r>
              <w:rPr>
                <w:rFonts w:hint="eastAsia"/>
                <w:color w:val="auto"/>
                <w:szCs w:val="21"/>
                <w:lang w:eastAsia="zh-CN"/>
              </w:rPr>
              <w:t>以2020年营业收入为基数，2022年营业收入增长率不低于15%；同时以2020年净利润为基数，2022年净利润增长率不低于10%。公司层面具体解除限售比例参见本条计算。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70" w:hRule="exact"/>
          <w:jc w:val="center"/>
        </w:trPr>
        <w:tc>
          <w:tcPr>
            <w:tcW w:w="2169" w:type="pct"/>
            <w:vAlign w:val="center"/>
          </w:tcPr>
          <w:p>
            <w:pPr>
              <w:spacing w:before="158"/>
              <w:jc w:val="center"/>
              <w:rPr>
                <w:color w:val="auto"/>
                <w:szCs w:val="21"/>
                <w:lang w:eastAsia="zh-CN"/>
              </w:rPr>
            </w:pPr>
            <w:r>
              <w:rPr>
                <w:rFonts w:hint="eastAsia"/>
                <w:color w:val="auto"/>
                <w:szCs w:val="21"/>
                <w:lang w:eastAsia="zh-CN"/>
              </w:rPr>
              <w:t>预留授予限制性股票第二个解除限售期</w:t>
            </w:r>
          </w:p>
        </w:tc>
        <w:tc>
          <w:tcPr>
            <w:tcW w:w="2831" w:type="pct"/>
            <w:vAlign w:val="center"/>
          </w:tcPr>
          <w:p>
            <w:pPr>
              <w:rPr>
                <w:color w:val="auto"/>
                <w:szCs w:val="21"/>
                <w:lang w:eastAsia="zh-CN"/>
              </w:rPr>
            </w:pPr>
            <w:r>
              <w:rPr>
                <w:rFonts w:hint="eastAsia"/>
                <w:color w:val="auto"/>
                <w:szCs w:val="21"/>
                <w:lang w:eastAsia="zh-CN"/>
              </w:rPr>
              <w:t>以2020年营业收入为基数，2023年营业收入增长率不低于20%；同时以2020年净利润为基数，2023年净利润增长率不低于15%。公司层面具体解除限售比例参见本条计算。</w:t>
            </w:r>
          </w:p>
        </w:tc>
      </w:tr>
    </w:tbl>
    <w:p>
      <w:pPr>
        <w:spacing w:beforeLines="50" w:afterLines="50" w:line="360" w:lineRule="auto"/>
        <w:ind w:firstLine="480" w:firstLineChars="200"/>
        <w:rPr>
          <w:rFonts w:asciiTheme="minorEastAsia" w:hAnsiTheme="minorEastAsia"/>
          <w:color w:val="auto"/>
          <w:sz w:val="24"/>
          <w:szCs w:val="24"/>
          <w:lang w:eastAsia="zh-CN"/>
        </w:rPr>
      </w:pPr>
      <w:r>
        <w:rPr>
          <w:rFonts w:hint="eastAsia" w:asciiTheme="minorEastAsia" w:hAnsiTheme="minorEastAsia"/>
          <w:color w:val="auto"/>
          <w:sz w:val="24"/>
          <w:szCs w:val="24"/>
          <w:lang w:eastAsia="zh-CN"/>
        </w:rPr>
        <w:t>注：“净利润”指归属于上市公司股东的净利润。</w:t>
      </w:r>
    </w:p>
    <w:p>
      <w:pPr>
        <w:pStyle w:val="4"/>
        <w:spacing w:beforeLines="50" w:afterLines="50" w:line="360" w:lineRule="auto"/>
        <w:ind w:firstLine="440" w:firstLineChars="200"/>
        <w:rPr>
          <w:color w:val="auto"/>
          <w:spacing w:val="-10"/>
          <w:lang w:eastAsia="zh-CN"/>
        </w:rPr>
      </w:pPr>
      <w:r>
        <w:rPr>
          <w:rFonts w:hint="eastAsia"/>
          <w:color w:val="auto"/>
          <w:spacing w:val="-10"/>
          <w:lang w:eastAsia="zh-CN"/>
        </w:rPr>
        <w:t>本次激励计划首次授予限制性股票和预留授予限制性股票公司层面设置了营业收入和净利润两个业绩目标。其中按照营业收入（</w:t>
      </w:r>
      <w:r>
        <w:rPr>
          <w:color w:val="auto"/>
          <w:spacing w:val="-10"/>
          <w:lang w:eastAsia="zh-CN"/>
        </w:rPr>
        <w:t>S1</w:t>
      </w:r>
      <w:r>
        <w:rPr>
          <w:rFonts w:hint="eastAsia"/>
          <w:color w:val="auto"/>
          <w:spacing w:val="-10"/>
          <w:lang w:eastAsia="zh-CN"/>
        </w:rPr>
        <w:t>）占比</w:t>
      </w:r>
      <w:r>
        <w:rPr>
          <w:color w:val="auto"/>
          <w:spacing w:val="-10"/>
          <w:lang w:eastAsia="zh-CN"/>
        </w:rPr>
        <w:t>40%</w:t>
      </w:r>
      <w:r>
        <w:rPr>
          <w:rFonts w:hint="eastAsia"/>
          <w:color w:val="auto"/>
          <w:spacing w:val="-10"/>
          <w:lang w:eastAsia="zh-CN"/>
        </w:rPr>
        <w:t>、净利润（</w:t>
      </w:r>
      <w:r>
        <w:rPr>
          <w:color w:val="auto"/>
          <w:spacing w:val="-10"/>
          <w:lang w:eastAsia="zh-CN"/>
        </w:rPr>
        <w:t>S2</w:t>
      </w:r>
      <w:r>
        <w:rPr>
          <w:rFonts w:hint="eastAsia"/>
          <w:color w:val="auto"/>
          <w:spacing w:val="-10"/>
          <w:lang w:eastAsia="zh-CN"/>
        </w:rPr>
        <w:t>）占比</w:t>
      </w:r>
      <w:r>
        <w:rPr>
          <w:color w:val="auto"/>
          <w:spacing w:val="-10"/>
          <w:lang w:eastAsia="zh-CN"/>
        </w:rPr>
        <w:t>60%</w:t>
      </w:r>
      <w:r>
        <w:rPr>
          <w:rFonts w:hint="eastAsia"/>
          <w:color w:val="auto"/>
          <w:spacing w:val="-10"/>
          <w:lang w:eastAsia="zh-CN"/>
        </w:rPr>
        <w:t>的比例加权计算作为考核指标</w:t>
      </w:r>
      <w:r>
        <w:rPr>
          <w:color w:val="auto"/>
          <w:spacing w:val="-10"/>
          <w:lang w:eastAsia="zh-CN"/>
        </w:rPr>
        <w:t>S</w:t>
      </w:r>
      <w:r>
        <w:rPr>
          <w:rFonts w:hint="eastAsia"/>
          <w:color w:val="auto"/>
          <w:spacing w:val="-10"/>
          <w:lang w:eastAsia="zh-CN"/>
        </w:rPr>
        <w:t>，即</w:t>
      </w:r>
      <w:r>
        <w:rPr>
          <w:color w:val="auto"/>
          <w:spacing w:val="-10"/>
          <w:lang w:eastAsia="zh-CN"/>
        </w:rPr>
        <w:t>S=S1+S2</w:t>
      </w:r>
      <w:r>
        <w:rPr>
          <w:rFonts w:hint="eastAsia"/>
          <w:color w:val="auto"/>
          <w:spacing w:val="-10"/>
          <w:lang w:eastAsia="zh-CN"/>
        </w:rPr>
        <w:t>。</w:t>
      </w:r>
    </w:p>
    <w:p>
      <w:pPr>
        <w:pStyle w:val="4"/>
        <w:spacing w:beforeLines="50" w:afterLines="50" w:line="360" w:lineRule="auto"/>
        <w:ind w:firstLine="220" w:firstLineChars="100"/>
        <w:rPr>
          <w:color w:val="auto"/>
          <w:spacing w:val="-10"/>
          <w:lang w:eastAsia="zh-CN"/>
        </w:rPr>
      </w:pPr>
      <w:r>
        <w:rPr>
          <w:rFonts w:hint="eastAsia"/>
          <w:color w:val="auto"/>
          <w:spacing w:val="-10"/>
          <w:lang w:eastAsia="zh-CN"/>
        </w:rPr>
        <w:t>营业收入考核指标</w:t>
      </w:r>
      <w:r>
        <w:rPr>
          <w:color w:val="auto"/>
          <w:spacing w:val="-10"/>
          <w:lang w:eastAsia="zh-CN"/>
        </w:rPr>
        <w:t>S1=</w:t>
      </w:r>
      <w:r>
        <w:rPr>
          <w:rFonts w:hint="eastAsia"/>
          <w:color w:val="auto"/>
          <w:spacing w:val="-10"/>
          <w:lang w:eastAsia="zh-CN"/>
        </w:rPr>
        <w:t>当年实现值</w:t>
      </w:r>
      <w:r>
        <w:rPr>
          <w:color w:val="auto"/>
          <w:spacing w:val="-10"/>
          <w:lang w:eastAsia="zh-CN"/>
        </w:rPr>
        <w:t>/</w:t>
      </w:r>
      <w:r>
        <w:rPr>
          <w:rFonts w:hint="eastAsia"/>
          <w:color w:val="auto"/>
          <w:spacing w:val="-10"/>
          <w:lang w:eastAsia="zh-CN"/>
        </w:rPr>
        <w:t>考核指标值</w:t>
      </w:r>
      <w:r>
        <w:rPr>
          <w:color w:val="auto"/>
          <w:spacing w:val="-10"/>
          <w:lang w:eastAsia="zh-CN"/>
        </w:rPr>
        <w:t>*40%</w:t>
      </w:r>
      <w:r>
        <w:rPr>
          <w:rFonts w:hint="eastAsia"/>
          <w:color w:val="auto"/>
          <w:spacing w:val="-10"/>
          <w:lang w:eastAsia="zh-CN"/>
        </w:rPr>
        <w:t>，（注：</w:t>
      </w:r>
      <w:r>
        <w:rPr>
          <w:color w:val="auto"/>
          <w:spacing w:val="-10"/>
          <w:lang w:eastAsia="zh-CN"/>
        </w:rPr>
        <w:t>S1</w:t>
      </w:r>
      <w:r>
        <w:rPr>
          <w:rFonts w:hint="eastAsia"/>
          <w:color w:val="auto"/>
          <w:spacing w:val="-10"/>
          <w:lang w:eastAsia="zh-CN"/>
        </w:rPr>
        <w:t>最大值等于</w:t>
      </w:r>
      <w:r>
        <w:rPr>
          <w:color w:val="auto"/>
          <w:spacing w:val="-10"/>
          <w:lang w:eastAsia="zh-CN"/>
        </w:rPr>
        <w:t>0.4</w:t>
      </w:r>
      <w:r>
        <w:rPr>
          <w:rFonts w:hint="eastAsia"/>
          <w:color w:val="auto"/>
          <w:spacing w:val="-10"/>
          <w:lang w:eastAsia="zh-CN"/>
        </w:rPr>
        <w:t>）</w:t>
      </w:r>
    </w:p>
    <w:p>
      <w:pPr>
        <w:pStyle w:val="4"/>
        <w:spacing w:beforeLines="50" w:afterLines="50" w:line="360" w:lineRule="auto"/>
        <w:ind w:firstLine="440" w:firstLineChars="200"/>
        <w:rPr>
          <w:color w:val="auto"/>
          <w:spacing w:val="-10"/>
          <w:lang w:eastAsia="zh-CN"/>
        </w:rPr>
      </w:pPr>
      <w:r>
        <w:rPr>
          <w:rFonts w:hint="eastAsia"/>
          <w:color w:val="auto"/>
          <w:spacing w:val="-10"/>
          <w:lang w:eastAsia="zh-CN"/>
        </w:rPr>
        <w:t>净利润考核指标</w:t>
      </w:r>
      <w:r>
        <w:rPr>
          <w:color w:val="auto"/>
          <w:spacing w:val="-10"/>
          <w:lang w:eastAsia="zh-CN"/>
        </w:rPr>
        <w:t>S2=</w:t>
      </w:r>
      <w:r>
        <w:rPr>
          <w:rFonts w:hint="eastAsia"/>
          <w:color w:val="auto"/>
          <w:spacing w:val="-10"/>
          <w:lang w:eastAsia="zh-CN"/>
        </w:rPr>
        <w:t>当年实现值</w:t>
      </w:r>
      <w:r>
        <w:rPr>
          <w:color w:val="auto"/>
          <w:spacing w:val="-10"/>
          <w:lang w:eastAsia="zh-CN"/>
        </w:rPr>
        <w:t>/</w:t>
      </w:r>
      <w:r>
        <w:rPr>
          <w:rFonts w:hint="eastAsia"/>
          <w:color w:val="auto"/>
          <w:spacing w:val="-10"/>
          <w:lang w:eastAsia="zh-CN"/>
        </w:rPr>
        <w:t>考核指标值</w:t>
      </w:r>
      <w:r>
        <w:rPr>
          <w:color w:val="auto"/>
          <w:spacing w:val="-10"/>
          <w:lang w:eastAsia="zh-CN"/>
        </w:rPr>
        <w:t>*60%</w:t>
      </w:r>
      <w:r>
        <w:rPr>
          <w:rFonts w:hint="eastAsia"/>
          <w:color w:val="auto"/>
          <w:spacing w:val="-10"/>
          <w:lang w:eastAsia="zh-CN"/>
        </w:rPr>
        <w:t>，（注：</w:t>
      </w:r>
      <w:r>
        <w:rPr>
          <w:color w:val="auto"/>
          <w:spacing w:val="-10"/>
          <w:lang w:eastAsia="zh-CN"/>
        </w:rPr>
        <w:t>S2</w:t>
      </w:r>
      <w:r>
        <w:rPr>
          <w:rFonts w:hint="eastAsia"/>
          <w:color w:val="auto"/>
          <w:spacing w:val="-10"/>
          <w:lang w:eastAsia="zh-CN"/>
        </w:rPr>
        <w:t>最大值等于</w:t>
      </w:r>
      <w:r>
        <w:rPr>
          <w:color w:val="auto"/>
          <w:spacing w:val="-10"/>
          <w:lang w:eastAsia="zh-CN"/>
        </w:rPr>
        <w:t>0.6</w:t>
      </w:r>
      <w:r>
        <w:rPr>
          <w:rFonts w:hint="eastAsia"/>
          <w:color w:val="auto"/>
          <w:spacing w:val="-10"/>
          <w:lang w:eastAsia="zh-CN"/>
        </w:rPr>
        <w:t>）</w:t>
      </w:r>
    </w:p>
    <w:p>
      <w:pPr>
        <w:pStyle w:val="4"/>
        <w:spacing w:beforeLines="50" w:afterLines="50" w:line="360" w:lineRule="auto"/>
        <w:ind w:firstLine="440" w:firstLineChars="200"/>
        <w:rPr>
          <w:color w:val="auto"/>
          <w:spacing w:val="-10"/>
          <w:lang w:eastAsia="zh-CN"/>
        </w:rPr>
      </w:pPr>
      <w:r>
        <w:rPr>
          <w:rFonts w:hint="eastAsia"/>
          <w:color w:val="auto"/>
          <w:spacing w:val="-10"/>
          <w:lang w:eastAsia="zh-CN"/>
        </w:rPr>
        <w:t>公司层面按照当年实现的考核指标</w:t>
      </w:r>
      <w:r>
        <w:rPr>
          <w:color w:val="auto"/>
          <w:spacing w:val="-10"/>
          <w:lang w:eastAsia="zh-CN"/>
        </w:rPr>
        <w:t>S</w:t>
      </w:r>
      <w:r>
        <w:rPr>
          <w:rFonts w:hint="eastAsia"/>
          <w:color w:val="auto"/>
          <w:spacing w:val="-10"/>
          <w:lang w:eastAsia="zh-CN"/>
        </w:rPr>
        <w:t>值确定解除限售比例，确定标准如下：</w:t>
      </w:r>
    </w:p>
    <w:p>
      <w:pPr>
        <w:pStyle w:val="4"/>
        <w:spacing w:beforeLines="50" w:afterLines="50" w:line="360" w:lineRule="auto"/>
        <w:ind w:firstLine="440" w:firstLineChars="200"/>
        <w:rPr>
          <w:color w:val="auto"/>
          <w:spacing w:val="-10"/>
          <w:lang w:eastAsia="zh-CN"/>
        </w:rPr>
      </w:pP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51"/>
        <w:gridCol w:w="1458"/>
        <w:gridCol w:w="1705"/>
        <w:gridCol w:w="1706"/>
        <w:gridCol w:w="17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51" w:type="dxa"/>
            <w:shd w:val="clear" w:color="auto" w:fill="D8D8D8" w:themeFill="background1" w:themeFillShade="D9"/>
            <w:vAlign w:val="center"/>
          </w:tcPr>
          <w:p>
            <w:pPr>
              <w:pStyle w:val="4"/>
              <w:spacing w:line="360" w:lineRule="auto"/>
              <w:rPr>
                <w:rFonts w:asciiTheme="minorEastAsia" w:hAnsiTheme="minorEastAsia"/>
                <w:b/>
                <w:bCs/>
                <w:color w:val="auto"/>
                <w:spacing w:val="-10"/>
              </w:rPr>
            </w:pPr>
            <w:r>
              <w:rPr>
                <w:rFonts w:hint="eastAsia" w:asciiTheme="minorEastAsia" w:hAnsiTheme="minorEastAsia"/>
                <w:b/>
                <w:bCs/>
                <w:color w:val="auto"/>
                <w:spacing w:val="-10"/>
              </w:rPr>
              <w:t>上年度考核结果</w:t>
            </w:r>
          </w:p>
        </w:tc>
        <w:tc>
          <w:tcPr>
            <w:tcW w:w="1458" w:type="dxa"/>
            <w:shd w:val="clear" w:color="auto" w:fill="D8D8D8" w:themeFill="background1" w:themeFillShade="D9"/>
            <w:vAlign w:val="center"/>
          </w:tcPr>
          <w:p>
            <w:pPr>
              <w:pStyle w:val="4"/>
              <w:spacing w:line="360" w:lineRule="auto"/>
              <w:jc w:val="center"/>
              <w:rPr>
                <w:rFonts w:asciiTheme="minorEastAsia" w:hAnsiTheme="minorEastAsia"/>
                <w:color w:val="auto"/>
                <w:spacing w:val="-10"/>
              </w:rPr>
            </w:pPr>
            <w:r>
              <w:rPr>
                <w:rFonts w:asciiTheme="minorEastAsia" w:hAnsiTheme="minorEastAsia"/>
                <w:color w:val="auto"/>
                <w:spacing w:val="-10"/>
              </w:rPr>
              <w:t>S=1</w:t>
            </w:r>
          </w:p>
        </w:tc>
        <w:tc>
          <w:tcPr>
            <w:tcW w:w="1705" w:type="dxa"/>
            <w:shd w:val="clear" w:color="auto" w:fill="D8D8D8" w:themeFill="background1" w:themeFillShade="D9"/>
            <w:vAlign w:val="center"/>
          </w:tcPr>
          <w:p>
            <w:pPr>
              <w:pStyle w:val="4"/>
              <w:spacing w:line="360" w:lineRule="auto"/>
              <w:jc w:val="center"/>
              <w:rPr>
                <w:rFonts w:asciiTheme="minorEastAsia" w:hAnsiTheme="minorEastAsia"/>
                <w:color w:val="auto"/>
                <w:spacing w:val="-10"/>
              </w:rPr>
            </w:pPr>
            <w:r>
              <w:rPr>
                <w:rFonts w:asciiTheme="minorEastAsia" w:hAnsiTheme="minorEastAsia"/>
                <w:color w:val="auto"/>
                <w:spacing w:val="-10"/>
              </w:rPr>
              <w:t>0.9</w:t>
            </w:r>
            <w:r>
              <w:rPr>
                <w:rFonts w:hint="eastAsia" w:asciiTheme="minorEastAsia" w:hAnsiTheme="minorEastAsia"/>
                <w:color w:val="auto"/>
                <w:spacing w:val="-10"/>
              </w:rPr>
              <w:t>≤</w:t>
            </w:r>
            <w:r>
              <w:rPr>
                <w:rFonts w:asciiTheme="minorEastAsia" w:hAnsiTheme="minorEastAsia"/>
                <w:color w:val="auto"/>
                <w:spacing w:val="-10"/>
              </w:rPr>
              <w:t>S</w:t>
            </w:r>
            <w:r>
              <w:rPr>
                <w:rFonts w:hint="eastAsia" w:asciiTheme="minorEastAsia" w:hAnsiTheme="minorEastAsia"/>
                <w:color w:val="auto"/>
                <w:spacing w:val="-10"/>
              </w:rPr>
              <w:t>＜</w:t>
            </w:r>
            <w:r>
              <w:rPr>
                <w:rFonts w:asciiTheme="minorEastAsia" w:hAnsiTheme="minorEastAsia"/>
                <w:color w:val="auto"/>
                <w:spacing w:val="-10"/>
              </w:rPr>
              <w:t>1</w:t>
            </w:r>
          </w:p>
        </w:tc>
        <w:tc>
          <w:tcPr>
            <w:tcW w:w="1706" w:type="dxa"/>
            <w:shd w:val="clear" w:color="auto" w:fill="D8D8D8" w:themeFill="background1" w:themeFillShade="D9"/>
          </w:tcPr>
          <w:p>
            <w:pPr>
              <w:pStyle w:val="4"/>
              <w:spacing w:line="360" w:lineRule="auto"/>
              <w:jc w:val="center"/>
              <w:rPr>
                <w:rFonts w:asciiTheme="minorEastAsia" w:hAnsiTheme="minorEastAsia"/>
                <w:color w:val="auto"/>
                <w:spacing w:val="-10"/>
              </w:rPr>
            </w:pPr>
            <w:r>
              <w:rPr>
                <w:rFonts w:asciiTheme="minorEastAsia" w:hAnsiTheme="minorEastAsia"/>
                <w:color w:val="auto"/>
                <w:spacing w:val="-10"/>
              </w:rPr>
              <w:t>0.8</w:t>
            </w:r>
            <w:r>
              <w:rPr>
                <w:rFonts w:hint="eastAsia" w:asciiTheme="minorEastAsia" w:hAnsiTheme="minorEastAsia"/>
                <w:color w:val="auto"/>
                <w:spacing w:val="-10"/>
              </w:rPr>
              <w:t>≤</w:t>
            </w:r>
            <w:r>
              <w:rPr>
                <w:rFonts w:asciiTheme="minorEastAsia" w:hAnsiTheme="minorEastAsia"/>
                <w:color w:val="auto"/>
                <w:spacing w:val="-10"/>
              </w:rPr>
              <w:t>S</w:t>
            </w:r>
            <w:r>
              <w:rPr>
                <w:rFonts w:hint="eastAsia" w:asciiTheme="minorEastAsia" w:hAnsiTheme="minorEastAsia"/>
                <w:color w:val="auto"/>
                <w:spacing w:val="-10"/>
              </w:rPr>
              <w:t>＜</w:t>
            </w:r>
            <w:r>
              <w:rPr>
                <w:rFonts w:asciiTheme="minorEastAsia" w:hAnsiTheme="minorEastAsia"/>
                <w:color w:val="auto"/>
                <w:spacing w:val="-10"/>
              </w:rPr>
              <w:t>0.9</w:t>
            </w:r>
          </w:p>
        </w:tc>
        <w:tc>
          <w:tcPr>
            <w:tcW w:w="1706" w:type="dxa"/>
            <w:shd w:val="clear" w:color="auto" w:fill="D8D8D8" w:themeFill="background1" w:themeFillShade="D9"/>
          </w:tcPr>
          <w:p>
            <w:pPr>
              <w:pStyle w:val="4"/>
              <w:spacing w:line="360" w:lineRule="auto"/>
              <w:jc w:val="center"/>
              <w:rPr>
                <w:rFonts w:asciiTheme="minorEastAsia" w:hAnsiTheme="minorEastAsia"/>
                <w:color w:val="auto"/>
                <w:spacing w:val="-10"/>
              </w:rPr>
            </w:pPr>
            <w:r>
              <w:rPr>
                <w:rFonts w:asciiTheme="minorEastAsia" w:hAnsiTheme="minorEastAsia"/>
                <w:color w:val="auto"/>
                <w:spacing w:val="-10"/>
              </w:rPr>
              <w:t>S</w:t>
            </w:r>
            <w:r>
              <w:rPr>
                <w:rFonts w:hint="eastAsia" w:asciiTheme="minorEastAsia" w:hAnsiTheme="minorEastAsia"/>
                <w:color w:val="auto"/>
                <w:spacing w:val="-10"/>
              </w:rPr>
              <w:t>＜</w:t>
            </w:r>
            <w:r>
              <w:rPr>
                <w:rFonts w:asciiTheme="minorEastAsia" w:hAnsiTheme="minorEastAsia"/>
                <w:color w:val="auto"/>
                <w:spacing w:val="-10"/>
              </w:rPr>
              <w:t>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51" w:type="dxa"/>
            <w:vAlign w:val="center"/>
          </w:tcPr>
          <w:p>
            <w:pPr>
              <w:pStyle w:val="4"/>
              <w:spacing w:line="360" w:lineRule="auto"/>
              <w:jc w:val="center"/>
              <w:rPr>
                <w:rFonts w:asciiTheme="minorEastAsia" w:hAnsiTheme="minorEastAsia"/>
                <w:b/>
                <w:bCs/>
                <w:color w:val="auto"/>
                <w:spacing w:val="-10"/>
              </w:rPr>
            </w:pPr>
            <w:r>
              <w:rPr>
                <w:rFonts w:hint="eastAsia" w:asciiTheme="minorEastAsia" w:hAnsiTheme="minorEastAsia"/>
                <w:b/>
                <w:bCs/>
                <w:color w:val="auto"/>
                <w:spacing w:val="-10"/>
              </w:rPr>
              <w:t>可解除限售比例</w:t>
            </w:r>
          </w:p>
        </w:tc>
        <w:tc>
          <w:tcPr>
            <w:tcW w:w="1458" w:type="dxa"/>
            <w:vAlign w:val="center"/>
          </w:tcPr>
          <w:p>
            <w:pPr>
              <w:pStyle w:val="4"/>
              <w:spacing w:line="360" w:lineRule="auto"/>
              <w:jc w:val="center"/>
              <w:rPr>
                <w:rFonts w:asciiTheme="minorEastAsia" w:hAnsiTheme="minorEastAsia"/>
                <w:color w:val="auto"/>
                <w:spacing w:val="-10"/>
              </w:rPr>
            </w:pPr>
            <w:r>
              <w:rPr>
                <w:rFonts w:asciiTheme="minorEastAsia" w:hAnsiTheme="minorEastAsia"/>
                <w:color w:val="auto"/>
                <w:spacing w:val="-10"/>
              </w:rPr>
              <w:t>100%</w:t>
            </w:r>
          </w:p>
        </w:tc>
        <w:tc>
          <w:tcPr>
            <w:tcW w:w="1705" w:type="dxa"/>
            <w:vAlign w:val="center"/>
          </w:tcPr>
          <w:p>
            <w:pPr>
              <w:pStyle w:val="4"/>
              <w:spacing w:line="360" w:lineRule="auto"/>
              <w:jc w:val="center"/>
              <w:rPr>
                <w:rFonts w:asciiTheme="minorEastAsia" w:hAnsiTheme="minorEastAsia"/>
                <w:color w:val="auto"/>
                <w:spacing w:val="-10"/>
              </w:rPr>
            </w:pPr>
            <w:r>
              <w:rPr>
                <w:rFonts w:asciiTheme="minorEastAsia" w:hAnsiTheme="minorEastAsia"/>
                <w:color w:val="auto"/>
                <w:spacing w:val="-10"/>
              </w:rPr>
              <w:t>90%</w:t>
            </w:r>
          </w:p>
        </w:tc>
        <w:tc>
          <w:tcPr>
            <w:tcW w:w="1706" w:type="dxa"/>
            <w:vAlign w:val="center"/>
          </w:tcPr>
          <w:p>
            <w:pPr>
              <w:pStyle w:val="4"/>
              <w:spacing w:line="360" w:lineRule="auto"/>
              <w:jc w:val="center"/>
              <w:rPr>
                <w:rFonts w:asciiTheme="minorEastAsia" w:hAnsiTheme="minorEastAsia"/>
                <w:color w:val="auto"/>
                <w:spacing w:val="-10"/>
              </w:rPr>
            </w:pPr>
            <w:r>
              <w:rPr>
                <w:rFonts w:asciiTheme="minorEastAsia" w:hAnsiTheme="minorEastAsia"/>
                <w:color w:val="auto"/>
                <w:spacing w:val="-10"/>
              </w:rPr>
              <w:t>80%</w:t>
            </w:r>
          </w:p>
        </w:tc>
        <w:tc>
          <w:tcPr>
            <w:tcW w:w="1706" w:type="dxa"/>
            <w:vAlign w:val="center"/>
          </w:tcPr>
          <w:p>
            <w:pPr>
              <w:pStyle w:val="4"/>
              <w:spacing w:line="360" w:lineRule="auto"/>
              <w:jc w:val="center"/>
              <w:rPr>
                <w:rFonts w:asciiTheme="minorEastAsia" w:hAnsiTheme="minorEastAsia"/>
                <w:color w:val="auto"/>
                <w:spacing w:val="-10"/>
              </w:rPr>
            </w:pPr>
            <w:r>
              <w:rPr>
                <w:rFonts w:asciiTheme="minorEastAsia" w:hAnsiTheme="minorEastAsia"/>
                <w:color w:val="auto"/>
                <w:spacing w:val="-10"/>
              </w:rPr>
              <w:t>0</w:t>
            </w:r>
          </w:p>
        </w:tc>
      </w:tr>
    </w:tbl>
    <w:p>
      <w:pPr>
        <w:pStyle w:val="4"/>
        <w:spacing w:beforeLines="50" w:afterLines="50" w:line="360" w:lineRule="auto"/>
        <w:ind w:firstLine="440" w:firstLineChars="200"/>
        <w:rPr>
          <w:color w:val="auto"/>
          <w:spacing w:val="-10"/>
          <w:lang w:eastAsia="zh-CN"/>
        </w:rPr>
      </w:pPr>
      <w:r>
        <w:rPr>
          <w:rFonts w:hint="eastAsia"/>
          <w:color w:val="auto"/>
          <w:spacing w:val="-10"/>
          <w:lang w:eastAsia="zh-CN"/>
        </w:rPr>
        <w:t>限制性股票的解除限售条件达成，则激励对象可按照本激励计划规定比例解除限售。若公司未达到上述业绩考核目标，所有激励对象对应考核当年计划解除限售的限制性股票不得解除限售，由公司按授予价格回购注销。</w:t>
      </w:r>
    </w:p>
    <w:p>
      <w:pPr>
        <w:pStyle w:val="4"/>
        <w:spacing w:afterLines="50" w:line="360" w:lineRule="auto"/>
        <w:ind w:firstLine="440" w:firstLineChars="200"/>
        <w:rPr>
          <w:color w:val="auto"/>
          <w:spacing w:val="-10"/>
          <w:lang w:eastAsia="zh-CN"/>
        </w:rPr>
      </w:pPr>
      <w:r>
        <w:rPr>
          <w:color w:val="auto"/>
          <w:spacing w:val="-10"/>
          <w:lang w:eastAsia="zh-CN"/>
        </w:rPr>
        <w:t>（四）个人层面业绩考核要求</w:t>
      </w:r>
    </w:p>
    <w:p>
      <w:pPr>
        <w:pStyle w:val="4"/>
        <w:spacing w:beforeLines="50" w:afterLines="50" w:line="360" w:lineRule="auto"/>
        <w:ind w:firstLine="440" w:firstLineChars="200"/>
        <w:rPr>
          <w:color w:val="auto"/>
          <w:spacing w:val="-10"/>
          <w:lang w:eastAsia="zh-CN"/>
        </w:rPr>
      </w:pPr>
      <w:r>
        <w:rPr>
          <w:rFonts w:hint="eastAsia"/>
          <w:color w:val="auto"/>
          <w:spacing w:val="-10"/>
          <w:lang w:eastAsia="zh-CN"/>
        </w:rPr>
        <w:t>激励对象个人层面的考核根据公司现行薪酬与考核的相关规定组织实施，具体标准如下：</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51"/>
        <w:gridCol w:w="1458"/>
        <w:gridCol w:w="1705"/>
        <w:gridCol w:w="1706"/>
        <w:gridCol w:w="17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51" w:type="dxa"/>
            <w:shd w:val="clear" w:color="auto" w:fill="D8D8D8" w:themeFill="background1" w:themeFillShade="D9"/>
            <w:vAlign w:val="center"/>
          </w:tcPr>
          <w:p>
            <w:pPr>
              <w:pStyle w:val="4"/>
              <w:spacing w:line="360" w:lineRule="auto"/>
              <w:jc w:val="center"/>
              <w:rPr>
                <w:rFonts w:asciiTheme="minorEastAsia" w:hAnsiTheme="minorEastAsia"/>
                <w:b/>
                <w:bCs/>
                <w:color w:val="auto"/>
                <w:spacing w:val="-10"/>
              </w:rPr>
            </w:pPr>
            <w:r>
              <w:rPr>
                <w:rFonts w:hint="eastAsia" w:asciiTheme="minorEastAsia" w:hAnsiTheme="minorEastAsia"/>
                <w:b/>
                <w:bCs/>
                <w:color w:val="auto"/>
                <w:spacing w:val="-10"/>
              </w:rPr>
              <w:t>考核等级</w:t>
            </w:r>
          </w:p>
        </w:tc>
        <w:tc>
          <w:tcPr>
            <w:tcW w:w="1458" w:type="dxa"/>
            <w:shd w:val="clear" w:color="auto" w:fill="D8D8D8" w:themeFill="background1" w:themeFillShade="D9"/>
            <w:vAlign w:val="center"/>
          </w:tcPr>
          <w:p>
            <w:pPr>
              <w:pStyle w:val="4"/>
              <w:spacing w:line="360" w:lineRule="auto"/>
              <w:jc w:val="center"/>
              <w:rPr>
                <w:rFonts w:asciiTheme="minorEastAsia" w:hAnsiTheme="minorEastAsia"/>
                <w:color w:val="auto"/>
                <w:spacing w:val="-10"/>
              </w:rPr>
            </w:pPr>
            <w:r>
              <w:rPr>
                <w:rFonts w:asciiTheme="minorEastAsia" w:hAnsiTheme="minorEastAsia"/>
                <w:color w:val="auto"/>
                <w:spacing w:val="-10"/>
              </w:rPr>
              <w:t>A</w:t>
            </w:r>
            <w:r>
              <w:rPr>
                <w:rFonts w:hint="eastAsia" w:asciiTheme="minorEastAsia" w:hAnsiTheme="minorEastAsia"/>
                <w:color w:val="auto"/>
                <w:spacing w:val="-10"/>
              </w:rPr>
              <w:t>（优秀）</w:t>
            </w:r>
          </w:p>
        </w:tc>
        <w:tc>
          <w:tcPr>
            <w:tcW w:w="1705" w:type="dxa"/>
            <w:shd w:val="clear" w:color="auto" w:fill="D8D8D8" w:themeFill="background1" w:themeFillShade="D9"/>
            <w:vAlign w:val="center"/>
          </w:tcPr>
          <w:p>
            <w:pPr>
              <w:pStyle w:val="4"/>
              <w:spacing w:line="360" w:lineRule="auto"/>
              <w:jc w:val="center"/>
              <w:rPr>
                <w:rFonts w:asciiTheme="minorEastAsia" w:hAnsiTheme="minorEastAsia"/>
                <w:color w:val="auto"/>
                <w:spacing w:val="-10"/>
              </w:rPr>
            </w:pPr>
            <w:r>
              <w:rPr>
                <w:rFonts w:asciiTheme="minorEastAsia" w:hAnsiTheme="minorEastAsia"/>
                <w:color w:val="auto"/>
                <w:spacing w:val="-10"/>
              </w:rPr>
              <w:t>B</w:t>
            </w:r>
            <w:r>
              <w:rPr>
                <w:rFonts w:hint="eastAsia" w:asciiTheme="minorEastAsia" w:hAnsiTheme="minorEastAsia"/>
                <w:color w:val="auto"/>
                <w:spacing w:val="-10"/>
              </w:rPr>
              <w:t>（良好）</w:t>
            </w:r>
          </w:p>
        </w:tc>
        <w:tc>
          <w:tcPr>
            <w:tcW w:w="1706" w:type="dxa"/>
            <w:shd w:val="clear" w:color="auto" w:fill="D8D8D8" w:themeFill="background1" w:themeFillShade="D9"/>
            <w:vAlign w:val="center"/>
          </w:tcPr>
          <w:p>
            <w:pPr>
              <w:pStyle w:val="4"/>
              <w:spacing w:line="360" w:lineRule="auto"/>
              <w:jc w:val="center"/>
              <w:rPr>
                <w:rFonts w:asciiTheme="minorEastAsia" w:hAnsiTheme="minorEastAsia"/>
                <w:color w:val="auto"/>
                <w:spacing w:val="-10"/>
              </w:rPr>
            </w:pPr>
            <w:r>
              <w:rPr>
                <w:rFonts w:asciiTheme="minorEastAsia" w:hAnsiTheme="minorEastAsia"/>
                <w:color w:val="auto"/>
                <w:spacing w:val="-10"/>
              </w:rPr>
              <w:t>C</w:t>
            </w:r>
            <w:r>
              <w:rPr>
                <w:rFonts w:hint="eastAsia" w:asciiTheme="minorEastAsia" w:hAnsiTheme="minorEastAsia"/>
                <w:color w:val="auto"/>
                <w:spacing w:val="-10"/>
              </w:rPr>
              <w:t>（合格）</w:t>
            </w:r>
          </w:p>
        </w:tc>
        <w:tc>
          <w:tcPr>
            <w:tcW w:w="1706" w:type="dxa"/>
            <w:shd w:val="clear" w:color="auto" w:fill="D8D8D8" w:themeFill="background1" w:themeFillShade="D9"/>
            <w:vAlign w:val="center"/>
          </w:tcPr>
          <w:p>
            <w:pPr>
              <w:pStyle w:val="4"/>
              <w:spacing w:line="360" w:lineRule="auto"/>
              <w:jc w:val="center"/>
              <w:rPr>
                <w:rFonts w:asciiTheme="minorEastAsia" w:hAnsiTheme="minorEastAsia"/>
                <w:color w:val="auto"/>
                <w:spacing w:val="-10"/>
              </w:rPr>
            </w:pPr>
            <w:r>
              <w:rPr>
                <w:rFonts w:asciiTheme="minorEastAsia" w:hAnsiTheme="minorEastAsia"/>
                <w:color w:val="auto"/>
                <w:spacing w:val="-10"/>
              </w:rPr>
              <w:t>D</w:t>
            </w:r>
            <w:r>
              <w:rPr>
                <w:rFonts w:hint="eastAsia" w:asciiTheme="minorEastAsia" w:hAnsiTheme="minorEastAsia"/>
                <w:color w:val="auto"/>
                <w:spacing w:val="-10"/>
              </w:rPr>
              <w:t>（不合格）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51" w:type="dxa"/>
            <w:vAlign w:val="center"/>
          </w:tcPr>
          <w:p>
            <w:pPr>
              <w:pStyle w:val="4"/>
              <w:spacing w:line="360" w:lineRule="auto"/>
              <w:rPr>
                <w:rFonts w:asciiTheme="minorEastAsia" w:hAnsiTheme="minorEastAsia"/>
                <w:b/>
                <w:bCs/>
                <w:color w:val="auto"/>
                <w:spacing w:val="-10"/>
              </w:rPr>
            </w:pPr>
            <w:r>
              <w:rPr>
                <w:rFonts w:hint="eastAsia" w:asciiTheme="minorEastAsia" w:hAnsiTheme="minorEastAsia"/>
                <w:b/>
                <w:bCs/>
                <w:color w:val="auto"/>
                <w:spacing w:val="-10"/>
              </w:rPr>
              <w:t>上年度考核结果</w:t>
            </w:r>
          </w:p>
        </w:tc>
        <w:tc>
          <w:tcPr>
            <w:tcW w:w="1458" w:type="dxa"/>
            <w:vAlign w:val="center"/>
          </w:tcPr>
          <w:p>
            <w:pPr>
              <w:pStyle w:val="4"/>
              <w:spacing w:line="360" w:lineRule="auto"/>
              <w:jc w:val="center"/>
              <w:rPr>
                <w:rFonts w:asciiTheme="minorEastAsia" w:hAnsiTheme="minorEastAsia"/>
                <w:color w:val="auto"/>
                <w:spacing w:val="-10"/>
              </w:rPr>
            </w:pPr>
            <w:r>
              <w:rPr>
                <w:rFonts w:asciiTheme="minorEastAsia" w:hAnsiTheme="minorEastAsia"/>
                <w:color w:val="auto"/>
                <w:spacing w:val="-10"/>
              </w:rPr>
              <w:t>95</w:t>
            </w:r>
            <w:r>
              <w:rPr>
                <w:rFonts w:hint="eastAsia" w:asciiTheme="minorEastAsia" w:hAnsiTheme="minorEastAsia"/>
                <w:color w:val="auto"/>
                <w:spacing w:val="-10"/>
              </w:rPr>
              <w:t>≤</w:t>
            </w:r>
            <w:r>
              <w:rPr>
                <w:rFonts w:asciiTheme="minorEastAsia" w:hAnsiTheme="minorEastAsia"/>
                <w:color w:val="auto"/>
                <w:spacing w:val="-10"/>
              </w:rPr>
              <w:t>X</w:t>
            </w:r>
          </w:p>
        </w:tc>
        <w:tc>
          <w:tcPr>
            <w:tcW w:w="1705" w:type="dxa"/>
            <w:vAlign w:val="center"/>
          </w:tcPr>
          <w:p>
            <w:pPr>
              <w:pStyle w:val="4"/>
              <w:spacing w:line="360" w:lineRule="auto"/>
              <w:jc w:val="center"/>
              <w:rPr>
                <w:rFonts w:asciiTheme="minorEastAsia" w:hAnsiTheme="minorEastAsia"/>
                <w:color w:val="auto"/>
                <w:spacing w:val="-10"/>
              </w:rPr>
            </w:pPr>
            <w:r>
              <w:rPr>
                <w:rFonts w:asciiTheme="minorEastAsia" w:hAnsiTheme="minorEastAsia"/>
                <w:color w:val="auto"/>
                <w:spacing w:val="-10"/>
              </w:rPr>
              <w:t>85</w:t>
            </w:r>
            <w:r>
              <w:rPr>
                <w:rFonts w:hint="eastAsia" w:asciiTheme="minorEastAsia" w:hAnsiTheme="minorEastAsia"/>
                <w:color w:val="auto"/>
                <w:spacing w:val="-10"/>
              </w:rPr>
              <w:t>≤</w:t>
            </w:r>
            <w:r>
              <w:rPr>
                <w:rFonts w:asciiTheme="minorEastAsia" w:hAnsiTheme="minorEastAsia"/>
                <w:color w:val="auto"/>
                <w:spacing w:val="-10"/>
              </w:rPr>
              <w:t>X</w:t>
            </w:r>
            <w:r>
              <w:rPr>
                <w:rFonts w:hint="eastAsia" w:asciiTheme="minorEastAsia" w:hAnsiTheme="minorEastAsia"/>
                <w:color w:val="auto"/>
                <w:spacing w:val="-10"/>
              </w:rPr>
              <w:t>＜</w:t>
            </w:r>
            <w:r>
              <w:rPr>
                <w:rFonts w:asciiTheme="minorEastAsia" w:hAnsiTheme="minorEastAsia"/>
                <w:color w:val="auto"/>
                <w:spacing w:val="-10"/>
              </w:rPr>
              <w:t>95</w:t>
            </w:r>
          </w:p>
        </w:tc>
        <w:tc>
          <w:tcPr>
            <w:tcW w:w="1706" w:type="dxa"/>
          </w:tcPr>
          <w:p>
            <w:pPr>
              <w:pStyle w:val="4"/>
              <w:spacing w:line="360" w:lineRule="auto"/>
              <w:jc w:val="center"/>
              <w:rPr>
                <w:rFonts w:asciiTheme="minorEastAsia" w:hAnsiTheme="minorEastAsia"/>
                <w:color w:val="auto"/>
                <w:spacing w:val="-10"/>
              </w:rPr>
            </w:pPr>
            <w:r>
              <w:rPr>
                <w:rFonts w:asciiTheme="minorEastAsia" w:hAnsiTheme="minorEastAsia"/>
                <w:color w:val="auto"/>
                <w:spacing w:val="-10"/>
              </w:rPr>
              <w:t>75</w:t>
            </w:r>
            <w:r>
              <w:rPr>
                <w:rFonts w:hint="eastAsia" w:asciiTheme="minorEastAsia" w:hAnsiTheme="minorEastAsia"/>
                <w:color w:val="auto"/>
                <w:spacing w:val="-10"/>
              </w:rPr>
              <w:t>≤</w:t>
            </w:r>
            <w:r>
              <w:rPr>
                <w:rFonts w:asciiTheme="minorEastAsia" w:hAnsiTheme="minorEastAsia"/>
                <w:color w:val="auto"/>
                <w:spacing w:val="-10"/>
              </w:rPr>
              <w:t>X</w:t>
            </w:r>
            <w:r>
              <w:rPr>
                <w:rFonts w:hint="eastAsia" w:asciiTheme="minorEastAsia" w:hAnsiTheme="minorEastAsia"/>
                <w:color w:val="auto"/>
                <w:spacing w:val="-10"/>
              </w:rPr>
              <w:t>＜</w:t>
            </w:r>
            <w:r>
              <w:rPr>
                <w:rFonts w:asciiTheme="minorEastAsia" w:hAnsiTheme="minorEastAsia"/>
                <w:color w:val="auto"/>
                <w:spacing w:val="-10"/>
              </w:rPr>
              <w:t>85</w:t>
            </w:r>
          </w:p>
        </w:tc>
        <w:tc>
          <w:tcPr>
            <w:tcW w:w="1706" w:type="dxa"/>
          </w:tcPr>
          <w:p>
            <w:pPr>
              <w:pStyle w:val="4"/>
              <w:spacing w:line="360" w:lineRule="auto"/>
              <w:jc w:val="center"/>
              <w:rPr>
                <w:rFonts w:asciiTheme="minorEastAsia" w:hAnsiTheme="minorEastAsia"/>
                <w:color w:val="auto"/>
                <w:spacing w:val="-10"/>
              </w:rPr>
            </w:pPr>
            <w:r>
              <w:rPr>
                <w:rFonts w:asciiTheme="minorEastAsia" w:hAnsiTheme="minorEastAsia"/>
                <w:color w:val="auto"/>
                <w:spacing w:val="-10"/>
              </w:rPr>
              <w:t>X</w:t>
            </w:r>
            <w:r>
              <w:rPr>
                <w:rFonts w:hint="eastAsia" w:asciiTheme="minorEastAsia" w:hAnsiTheme="minorEastAsia"/>
                <w:color w:val="auto"/>
                <w:spacing w:val="-10"/>
              </w:rPr>
              <w:t>＜</w:t>
            </w:r>
            <w:r>
              <w:rPr>
                <w:rFonts w:asciiTheme="minorEastAsia" w:hAnsiTheme="minorEastAsia"/>
                <w:color w:val="auto"/>
                <w:spacing w:val="-10"/>
              </w:rPr>
              <w:t>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51" w:type="dxa"/>
            <w:vAlign w:val="center"/>
          </w:tcPr>
          <w:p>
            <w:pPr>
              <w:pStyle w:val="4"/>
              <w:spacing w:line="360" w:lineRule="auto"/>
              <w:jc w:val="center"/>
              <w:rPr>
                <w:rFonts w:asciiTheme="minorEastAsia" w:hAnsiTheme="minorEastAsia"/>
                <w:b/>
                <w:bCs/>
                <w:color w:val="auto"/>
                <w:spacing w:val="-10"/>
              </w:rPr>
            </w:pPr>
            <w:r>
              <w:rPr>
                <w:rFonts w:hint="eastAsia" w:asciiTheme="minorEastAsia" w:hAnsiTheme="minorEastAsia"/>
                <w:b/>
                <w:bCs/>
                <w:color w:val="auto"/>
                <w:spacing w:val="-10"/>
              </w:rPr>
              <w:t>可解除限售比例</w:t>
            </w:r>
          </w:p>
        </w:tc>
        <w:tc>
          <w:tcPr>
            <w:tcW w:w="1458" w:type="dxa"/>
            <w:vAlign w:val="center"/>
          </w:tcPr>
          <w:p>
            <w:pPr>
              <w:pStyle w:val="4"/>
              <w:spacing w:line="360" w:lineRule="auto"/>
              <w:jc w:val="center"/>
              <w:rPr>
                <w:rFonts w:asciiTheme="minorEastAsia" w:hAnsiTheme="minorEastAsia"/>
                <w:color w:val="auto"/>
                <w:spacing w:val="-10"/>
              </w:rPr>
            </w:pPr>
            <w:r>
              <w:rPr>
                <w:rFonts w:asciiTheme="minorEastAsia" w:hAnsiTheme="minorEastAsia"/>
                <w:color w:val="auto"/>
                <w:spacing w:val="-10"/>
              </w:rPr>
              <w:t>100%</w:t>
            </w:r>
          </w:p>
        </w:tc>
        <w:tc>
          <w:tcPr>
            <w:tcW w:w="1705" w:type="dxa"/>
            <w:vAlign w:val="center"/>
          </w:tcPr>
          <w:p>
            <w:pPr>
              <w:pStyle w:val="4"/>
              <w:spacing w:line="360" w:lineRule="auto"/>
              <w:jc w:val="center"/>
              <w:rPr>
                <w:rFonts w:asciiTheme="minorEastAsia" w:hAnsiTheme="minorEastAsia"/>
                <w:color w:val="auto"/>
                <w:spacing w:val="-10"/>
              </w:rPr>
            </w:pPr>
            <w:r>
              <w:rPr>
                <w:rFonts w:asciiTheme="minorEastAsia" w:hAnsiTheme="minorEastAsia"/>
                <w:color w:val="auto"/>
                <w:spacing w:val="-10"/>
              </w:rPr>
              <w:t>90%</w:t>
            </w:r>
          </w:p>
        </w:tc>
        <w:tc>
          <w:tcPr>
            <w:tcW w:w="1706" w:type="dxa"/>
            <w:vAlign w:val="center"/>
          </w:tcPr>
          <w:p>
            <w:pPr>
              <w:pStyle w:val="4"/>
              <w:spacing w:line="360" w:lineRule="auto"/>
              <w:jc w:val="center"/>
              <w:rPr>
                <w:rFonts w:asciiTheme="minorEastAsia" w:hAnsiTheme="minorEastAsia"/>
                <w:color w:val="auto"/>
                <w:spacing w:val="-10"/>
              </w:rPr>
            </w:pPr>
            <w:r>
              <w:rPr>
                <w:rFonts w:asciiTheme="minorEastAsia" w:hAnsiTheme="minorEastAsia"/>
                <w:color w:val="auto"/>
                <w:spacing w:val="-10"/>
              </w:rPr>
              <w:t>80%</w:t>
            </w:r>
          </w:p>
        </w:tc>
        <w:tc>
          <w:tcPr>
            <w:tcW w:w="1706" w:type="dxa"/>
            <w:vAlign w:val="center"/>
          </w:tcPr>
          <w:p>
            <w:pPr>
              <w:pStyle w:val="4"/>
              <w:spacing w:line="360" w:lineRule="auto"/>
              <w:jc w:val="center"/>
              <w:rPr>
                <w:rFonts w:asciiTheme="minorEastAsia" w:hAnsiTheme="minorEastAsia"/>
                <w:color w:val="auto"/>
                <w:spacing w:val="-10"/>
              </w:rPr>
            </w:pPr>
            <w:r>
              <w:rPr>
                <w:rFonts w:asciiTheme="minorEastAsia" w:hAnsiTheme="minorEastAsia"/>
                <w:color w:val="auto"/>
                <w:spacing w:val="-10"/>
              </w:rPr>
              <w:t>0</w:t>
            </w:r>
          </w:p>
        </w:tc>
      </w:tr>
    </w:tbl>
    <w:p>
      <w:pPr>
        <w:spacing w:beforeLines="50" w:afterLines="50" w:line="360" w:lineRule="auto"/>
        <w:ind w:firstLine="440" w:firstLineChars="200"/>
        <w:rPr>
          <w:rFonts w:asciiTheme="minorEastAsia" w:hAnsiTheme="minorEastAsia"/>
          <w:color w:val="auto"/>
          <w:sz w:val="24"/>
          <w:szCs w:val="24"/>
          <w:lang w:eastAsia="zh-CN"/>
        </w:rPr>
      </w:pPr>
      <w:r>
        <w:rPr>
          <w:rFonts w:hint="eastAsia"/>
          <w:color w:val="auto"/>
          <w:spacing w:val="-10"/>
          <w:sz w:val="24"/>
          <w:lang w:eastAsia="zh-CN"/>
        </w:rPr>
        <w:t>在公司业绩目标达成的前提下，若激励对象上一年度个人绩效考核结果达到合格及以上，则</w:t>
      </w:r>
      <w:r>
        <w:rPr>
          <w:rFonts w:hint="eastAsia" w:asciiTheme="minorEastAsia" w:hAnsiTheme="minorEastAsia"/>
          <w:color w:val="auto"/>
          <w:sz w:val="24"/>
          <w:szCs w:val="24"/>
          <w:lang w:eastAsia="zh-CN"/>
        </w:rPr>
        <w:t>激励对象个人当年实际解除限售额度＝个人当年计划解除限售额度×公司层面可解除限售比例×个人层面可解除限售比例。</w:t>
      </w:r>
    </w:p>
    <w:p>
      <w:pPr>
        <w:pStyle w:val="4"/>
        <w:spacing w:beforeLines="50" w:afterLines="50" w:line="360" w:lineRule="auto"/>
        <w:ind w:firstLine="440" w:firstLineChars="200"/>
        <w:rPr>
          <w:color w:val="auto"/>
          <w:spacing w:val="-10"/>
          <w:lang w:eastAsia="zh-CN"/>
        </w:rPr>
      </w:pPr>
      <w:r>
        <w:rPr>
          <w:rFonts w:hint="eastAsia"/>
          <w:color w:val="auto"/>
          <w:spacing w:val="-10"/>
          <w:lang w:eastAsia="zh-CN"/>
        </w:rPr>
        <w:t>若激励对象上一年度的考核结果为不合格，该激励对象当年度所对应的已获授但尚未解除限售的限制性股票不可解除限售，由公司按授予价格回购注销。</w:t>
      </w:r>
    </w:p>
    <w:p>
      <w:pPr>
        <w:pStyle w:val="4"/>
        <w:spacing w:beforeLines="50" w:afterLines="50" w:line="360" w:lineRule="auto"/>
        <w:ind w:firstLine="440" w:firstLineChars="200"/>
        <w:rPr>
          <w:color w:val="auto"/>
          <w:spacing w:val="-10"/>
          <w:lang w:eastAsia="zh-CN"/>
        </w:rPr>
      </w:pPr>
      <w:r>
        <w:rPr>
          <w:rFonts w:hint="eastAsia"/>
          <w:color w:val="auto"/>
          <w:spacing w:val="-10"/>
          <w:lang w:eastAsia="zh-CN"/>
        </w:rPr>
        <w:t>本激励计划具体考核内容依据《考核管理办法》执行。</w:t>
      </w:r>
    </w:p>
    <w:p>
      <w:pPr>
        <w:spacing w:beforeLines="50" w:afterLines="50" w:line="360" w:lineRule="auto"/>
        <w:ind w:firstLine="199"/>
        <w:rPr>
          <w:rFonts w:asciiTheme="minorEastAsia" w:hAnsiTheme="minorEastAsia" w:eastAsiaTheme="minorEastAsia"/>
          <w:color w:val="auto"/>
          <w:lang w:eastAsia="zh-CN"/>
        </w:rPr>
      </w:pPr>
      <w:r>
        <w:rPr>
          <w:rFonts w:hint="eastAsia" w:asciiTheme="minorEastAsia" w:hAnsiTheme="minorEastAsia" w:eastAsiaTheme="minorEastAsia"/>
          <w:color w:val="auto"/>
          <w:sz w:val="24"/>
          <w:szCs w:val="24"/>
          <w:lang w:eastAsia="zh-CN"/>
        </w:rPr>
        <w:t>9</w:t>
      </w:r>
      <w:r>
        <w:rPr>
          <w:rFonts w:asciiTheme="minorEastAsia" w:hAnsiTheme="minorEastAsia" w:eastAsiaTheme="minorEastAsia"/>
          <w:color w:val="auto"/>
          <w:sz w:val="24"/>
          <w:szCs w:val="24"/>
          <w:lang w:eastAsia="zh-CN"/>
        </w:rPr>
        <w:t>、本次实施的激励计划与股东大会通过的激励计划的差异情况说明</w:t>
      </w:r>
    </w:p>
    <w:p>
      <w:pPr>
        <w:spacing w:beforeLines="50" w:afterLines="50" w:line="360" w:lineRule="auto"/>
        <w:ind w:firstLine="360" w:firstLineChars="150"/>
        <w:rPr>
          <w:color w:val="auto"/>
          <w:sz w:val="24"/>
          <w:szCs w:val="24"/>
          <w:lang w:eastAsia="zh-CN"/>
        </w:rPr>
      </w:pPr>
      <w:r>
        <w:rPr>
          <w:rFonts w:hint="eastAsia"/>
          <w:color w:val="auto"/>
          <w:sz w:val="24"/>
          <w:szCs w:val="24"/>
          <w:lang w:eastAsia="zh-CN"/>
        </w:rPr>
        <w:t>根据</w:t>
      </w:r>
      <w:r>
        <w:rPr>
          <w:color w:val="auto"/>
          <w:sz w:val="24"/>
          <w:szCs w:val="24"/>
          <w:lang w:eastAsia="zh-CN"/>
        </w:rPr>
        <w:t>2021年10月27日公司第四届董事会第六次会议通过的《关于调整公司2021年限制性股票激励计划相关事项的议案》，对激励计划（草案）进行了部分调整，调整的内容主要是对授予激励对象的人员名单以及激励股份数量进行的调整。具体调整如下：</w:t>
      </w:r>
    </w:p>
    <w:p>
      <w:pPr>
        <w:spacing w:beforeLines="50" w:afterLines="50" w:line="360" w:lineRule="auto"/>
        <w:ind w:firstLine="360" w:firstLineChars="150"/>
        <w:rPr>
          <w:color w:val="auto"/>
          <w:sz w:val="24"/>
          <w:szCs w:val="24"/>
          <w:lang w:eastAsia="zh-CN"/>
        </w:rPr>
      </w:pPr>
      <w:r>
        <w:rPr>
          <w:color w:val="auto"/>
          <w:sz w:val="24"/>
          <w:szCs w:val="24"/>
          <w:lang w:eastAsia="zh-CN"/>
        </w:rPr>
        <w:t>经公司与授予对象的反复沟通确认，公司2021年限制性股票激励计划中确定的部分拟激励对象由于其个人原因，自愿放弃认购拟授予的限制性股票共计4万股，上述股票将全部调整至公司预留股票。根据公司2021年第二次临时股东大会的授权，董事会对激励对象名单及授予数量进行了调整，该事项无需提交公司股东大会审议。预留授予限制性股票的总数由38.7626万股调整为42.7626万股。</w:t>
      </w:r>
    </w:p>
    <w:p>
      <w:pPr>
        <w:spacing w:beforeLines="50" w:afterLines="50" w:line="360" w:lineRule="auto"/>
        <w:ind w:firstLine="360" w:firstLineChars="150"/>
        <w:rPr>
          <w:color w:val="auto"/>
          <w:sz w:val="24"/>
          <w:szCs w:val="24"/>
          <w:lang w:eastAsia="zh-CN"/>
        </w:rPr>
      </w:pPr>
      <w:r>
        <w:rPr>
          <w:color w:val="auto"/>
          <w:sz w:val="24"/>
          <w:szCs w:val="24"/>
          <w:lang w:eastAsia="zh-CN"/>
        </w:rPr>
        <w:t>根据公司《2021年限制性股票激励计划》及公司2021年第二次临时股东大会的授权，公司于2022年09月08日召开四届董事会十四次会议与第四届监事会第十二次会议，审议通过了《关于调整2021年限制性股票激励计划预留部分授予价格的议案》，预留部分授予价格由5.00元/股调整为4.65元/股。</w:t>
      </w:r>
    </w:p>
    <w:p>
      <w:pPr>
        <w:pStyle w:val="4"/>
        <w:spacing w:afterLines="50" w:line="360" w:lineRule="auto"/>
        <w:ind w:firstLine="480" w:firstLineChars="200"/>
        <w:rPr>
          <w:color w:val="auto"/>
          <w:lang w:eastAsia="zh-CN"/>
        </w:rPr>
      </w:pPr>
      <w:r>
        <w:rPr>
          <w:color w:val="auto"/>
          <w:lang w:eastAsia="zh-CN"/>
        </w:rPr>
        <w:t>除上述内容调整外，本次实施的激励计划其他内容与2021年10月14日召开的2021年第二次临时股东大会审议通过的激励计划一致。</w:t>
      </w:r>
    </w:p>
    <w:p>
      <w:pPr>
        <w:pStyle w:val="4"/>
        <w:spacing w:afterLines="50" w:line="360" w:lineRule="auto"/>
        <w:ind w:firstLine="480" w:firstLineChars="200"/>
        <w:rPr>
          <w:rFonts w:asciiTheme="minorEastAsia" w:hAnsiTheme="minorEastAsia" w:eastAsiaTheme="minorEastAsia"/>
          <w:color w:val="auto"/>
          <w:spacing w:val="-10"/>
          <w:lang w:eastAsia="zh-CN"/>
        </w:rPr>
      </w:pPr>
      <w:r>
        <w:rPr>
          <w:rFonts w:hint="eastAsia" w:asciiTheme="minorEastAsia" w:hAnsiTheme="minorEastAsia" w:eastAsiaTheme="minorEastAsia"/>
          <w:color w:val="auto"/>
          <w:lang w:eastAsia="zh-CN"/>
        </w:rPr>
        <w:t>10</w:t>
      </w:r>
      <w:r>
        <w:rPr>
          <w:rFonts w:asciiTheme="minorEastAsia" w:hAnsiTheme="minorEastAsia" w:eastAsiaTheme="minorEastAsia"/>
          <w:color w:val="auto"/>
          <w:lang w:eastAsia="zh-CN"/>
        </w:rPr>
        <w:t>.本次股权激励</w:t>
      </w:r>
      <w:r>
        <w:rPr>
          <w:rFonts w:hint="eastAsia" w:asciiTheme="minorEastAsia" w:hAnsiTheme="minorEastAsia" w:eastAsiaTheme="minorEastAsia"/>
          <w:color w:val="auto"/>
          <w:lang w:eastAsia="zh-CN"/>
        </w:rPr>
        <w:t>计划</w:t>
      </w:r>
      <w:r>
        <w:rPr>
          <w:rFonts w:asciiTheme="minorEastAsia" w:hAnsiTheme="minorEastAsia" w:eastAsiaTheme="minorEastAsia"/>
          <w:color w:val="auto"/>
          <w:lang w:eastAsia="zh-CN"/>
        </w:rPr>
        <w:t>实施后，将不会导致股权分布不符合上市条件要求</w:t>
      </w:r>
      <w:r>
        <w:rPr>
          <w:rFonts w:hint="eastAsia" w:asciiTheme="minorEastAsia" w:hAnsiTheme="minorEastAsia" w:eastAsiaTheme="minorEastAsia"/>
          <w:color w:val="auto"/>
          <w:lang w:eastAsia="zh-CN"/>
        </w:rPr>
        <w:t>。</w:t>
      </w:r>
    </w:p>
    <w:p>
      <w:pPr>
        <w:pStyle w:val="2"/>
        <w:spacing w:afterLines="50"/>
        <w:ind w:left="0" w:firstLine="419" w:firstLineChars="183"/>
        <w:rPr>
          <w:color w:val="auto"/>
          <w:w w:val="95"/>
          <w:lang w:eastAsia="zh-CN"/>
        </w:rPr>
      </w:pPr>
      <w:r>
        <w:rPr>
          <w:rFonts w:hint="eastAsia"/>
          <w:color w:val="auto"/>
          <w:w w:val="95"/>
          <w:lang w:eastAsia="zh-CN"/>
        </w:rPr>
        <w:t>三、本次授予股份认购资金的验资情况</w:t>
      </w:r>
    </w:p>
    <w:p>
      <w:pPr>
        <w:pStyle w:val="4"/>
        <w:spacing w:afterLines="50" w:line="360" w:lineRule="auto"/>
        <w:ind w:firstLine="440" w:firstLineChars="200"/>
        <w:rPr>
          <w:color w:val="auto"/>
          <w:spacing w:val="-10"/>
          <w:lang w:eastAsia="zh-CN"/>
        </w:rPr>
      </w:pPr>
      <w:r>
        <w:rPr>
          <w:rFonts w:hint="eastAsia"/>
          <w:color w:val="auto"/>
          <w:spacing w:val="-10"/>
          <w:lang w:eastAsia="zh-CN"/>
        </w:rPr>
        <w:t>山东和信会计师事务所（特殊普</w:t>
      </w:r>
      <w:r>
        <w:rPr>
          <w:rFonts w:hint="eastAsia"/>
          <w:color w:val="auto"/>
          <w:lang w:eastAsia="zh-CN"/>
        </w:rPr>
        <w:t>通合伙）于20</w:t>
      </w:r>
      <w:r>
        <w:rPr>
          <w:rFonts w:hint="eastAsia"/>
          <w:color w:val="auto"/>
          <w:spacing w:val="-10"/>
          <w:lang w:eastAsia="zh-CN"/>
        </w:rPr>
        <w:t>22年9月9日出具了和信验字（2022)第000043号《验资报告》验证确认，公司以集中竞价交</w:t>
      </w:r>
      <w:r>
        <w:rPr>
          <w:rFonts w:hint="eastAsia"/>
          <w:color w:val="auto"/>
          <w:lang w:eastAsia="zh-CN"/>
        </w:rPr>
        <w:t>易方式从二级市场回购本公司A股普通股3</w:t>
      </w:r>
      <w:r>
        <w:rPr>
          <w:color w:val="auto"/>
          <w:lang w:eastAsia="zh-CN"/>
        </w:rPr>
        <w:t>,</w:t>
      </w:r>
      <w:r>
        <w:rPr>
          <w:rFonts w:hint="eastAsia"/>
          <w:color w:val="auto"/>
          <w:lang w:eastAsia="zh-CN"/>
        </w:rPr>
        <w:t>147</w:t>
      </w:r>
      <w:r>
        <w:rPr>
          <w:color w:val="auto"/>
          <w:lang w:eastAsia="zh-CN"/>
        </w:rPr>
        <w:t>,</w:t>
      </w:r>
      <w:r>
        <w:rPr>
          <w:rFonts w:hint="eastAsia"/>
          <w:color w:val="auto"/>
          <w:lang w:eastAsia="zh-CN"/>
        </w:rPr>
        <w:t>626</w:t>
      </w:r>
      <w:r>
        <w:rPr>
          <w:color w:val="auto"/>
          <w:lang w:eastAsia="zh-CN"/>
        </w:rPr>
        <w:t>.00</w:t>
      </w:r>
      <w:r>
        <w:rPr>
          <w:rFonts w:hint="eastAsia"/>
          <w:color w:val="auto"/>
          <w:lang w:eastAsia="zh-CN"/>
        </w:rPr>
        <w:t>股用于授予激励对象，其中首次授予</w:t>
      </w:r>
      <w:r>
        <w:rPr>
          <w:color w:val="auto"/>
          <w:lang w:eastAsia="zh-CN"/>
        </w:rPr>
        <w:t>2,720,000.00</w:t>
      </w:r>
      <w:r>
        <w:rPr>
          <w:rFonts w:hint="eastAsia"/>
          <w:color w:val="auto"/>
          <w:lang w:eastAsia="zh-CN"/>
        </w:rPr>
        <w:t>股，预留</w:t>
      </w:r>
      <w:r>
        <w:rPr>
          <w:color w:val="auto"/>
          <w:lang w:eastAsia="zh-CN"/>
        </w:rPr>
        <w:t>427,626.00</w:t>
      </w:r>
      <w:r>
        <w:rPr>
          <w:rFonts w:hint="eastAsia"/>
          <w:color w:val="auto"/>
          <w:lang w:eastAsia="zh-CN"/>
        </w:rPr>
        <w:t>股。</w:t>
      </w:r>
      <w:r>
        <w:rPr>
          <w:color w:val="auto"/>
          <w:lang w:eastAsia="zh-CN"/>
        </w:rPr>
        <w:t>根据贵公司</w:t>
      </w:r>
      <w:r>
        <w:rPr>
          <w:rFonts w:hint="eastAsia"/>
          <w:color w:val="auto"/>
          <w:lang w:eastAsia="zh-CN"/>
        </w:rPr>
        <w:t>第四届董事会第十四次会议决议审议通过的《关于调整 2021 年限制性股票激励计划预留部分授予价格的议案》及《关于向 2021 年限制性股票激励计划激励对象授予预留部分限制性股票的议案》，鉴于</w:t>
      </w:r>
      <w:r>
        <w:rPr>
          <w:color w:val="auto"/>
          <w:lang w:eastAsia="zh-CN"/>
        </w:rPr>
        <w:t>202</w:t>
      </w:r>
      <w:r>
        <w:rPr>
          <w:rFonts w:hint="eastAsia"/>
          <w:color w:val="auto"/>
          <w:lang w:eastAsia="zh-CN"/>
        </w:rPr>
        <w:t>1</w:t>
      </w:r>
      <w:r>
        <w:rPr>
          <w:color w:val="auto"/>
          <w:lang w:eastAsia="zh-CN"/>
        </w:rPr>
        <w:t xml:space="preserve"> 年限制性股票激励计划规定的授予条件已经成就</w:t>
      </w:r>
      <w:r>
        <w:rPr>
          <w:rFonts w:hint="eastAsia"/>
          <w:color w:val="auto"/>
          <w:lang w:eastAsia="zh-CN"/>
        </w:rPr>
        <w:t>，将</w:t>
      </w:r>
      <w:r>
        <w:rPr>
          <w:color w:val="auto"/>
          <w:lang w:eastAsia="zh-CN"/>
        </w:rPr>
        <w:t>202</w:t>
      </w:r>
      <w:r>
        <w:rPr>
          <w:rFonts w:hint="eastAsia"/>
          <w:color w:val="auto"/>
          <w:lang w:eastAsia="zh-CN"/>
        </w:rPr>
        <w:t>2</w:t>
      </w:r>
      <w:r>
        <w:rPr>
          <w:color w:val="auto"/>
          <w:lang w:eastAsia="zh-CN"/>
        </w:rPr>
        <w:t>年</w:t>
      </w:r>
      <w:r>
        <w:rPr>
          <w:rFonts w:hint="eastAsia"/>
          <w:color w:val="auto"/>
          <w:lang w:eastAsia="zh-CN"/>
        </w:rPr>
        <w:t>9</w:t>
      </w:r>
      <w:r>
        <w:rPr>
          <w:color w:val="auto"/>
          <w:lang w:eastAsia="zh-CN"/>
        </w:rPr>
        <w:t>月</w:t>
      </w:r>
      <w:r>
        <w:rPr>
          <w:rFonts w:hint="eastAsia"/>
          <w:color w:val="auto"/>
          <w:lang w:eastAsia="zh-CN"/>
        </w:rPr>
        <w:t>8</w:t>
      </w:r>
      <w:r>
        <w:rPr>
          <w:color w:val="auto"/>
          <w:lang w:eastAsia="zh-CN"/>
        </w:rPr>
        <w:t>日</w:t>
      </w:r>
      <w:r>
        <w:rPr>
          <w:rFonts w:hint="eastAsia"/>
          <w:color w:val="auto"/>
          <w:lang w:eastAsia="zh-CN"/>
        </w:rPr>
        <w:t>作</w:t>
      </w:r>
      <w:r>
        <w:rPr>
          <w:color w:val="auto"/>
          <w:lang w:eastAsia="zh-CN"/>
        </w:rPr>
        <w:t>为预留限制性股票授予日</w:t>
      </w:r>
      <w:r>
        <w:rPr>
          <w:rFonts w:hint="eastAsia"/>
          <w:color w:val="auto"/>
          <w:lang w:eastAsia="zh-CN"/>
        </w:rPr>
        <w:t>，</w:t>
      </w:r>
      <w:r>
        <w:rPr>
          <w:color w:val="auto"/>
          <w:lang w:eastAsia="zh-CN"/>
        </w:rPr>
        <w:t>向</w:t>
      </w:r>
      <w:r>
        <w:rPr>
          <w:rFonts w:hint="eastAsia"/>
          <w:color w:val="auto"/>
          <w:lang w:eastAsia="zh-CN"/>
        </w:rPr>
        <w:t>27</w:t>
      </w:r>
      <w:r>
        <w:rPr>
          <w:color w:val="auto"/>
          <w:lang w:eastAsia="zh-CN"/>
        </w:rPr>
        <w:t>名激励对象授予427,626.00股预留限制性股票</w:t>
      </w:r>
      <w:r>
        <w:rPr>
          <w:rFonts w:hint="eastAsia"/>
          <w:color w:val="auto"/>
          <w:lang w:eastAsia="zh-CN"/>
        </w:rPr>
        <w:t>，授予价格4.65元每股。经我们审验，截至20</w:t>
      </w:r>
      <w:r>
        <w:rPr>
          <w:color w:val="auto"/>
          <w:lang w:eastAsia="zh-CN"/>
        </w:rPr>
        <w:t>2</w:t>
      </w:r>
      <w:r>
        <w:rPr>
          <w:rFonts w:hint="eastAsia"/>
          <w:color w:val="auto"/>
          <w:lang w:eastAsia="zh-CN"/>
        </w:rPr>
        <w:t>2年9月9日止，贵公司已收到27位激励对象购买限制性股票缴纳的出资款人民币</w:t>
      </w:r>
      <w:r>
        <w:rPr>
          <w:color w:val="auto"/>
          <w:lang w:eastAsia="zh-CN"/>
        </w:rPr>
        <w:t>1,988,460.90</w:t>
      </w:r>
      <w:r>
        <w:rPr>
          <w:rFonts w:hint="eastAsia"/>
          <w:color w:val="auto"/>
          <w:lang w:eastAsia="zh-CN"/>
        </w:rPr>
        <w:t>元，全部以货币资金支付，因本次授予的限制性股票来源为贵公司从二级市场回购公司的普通股，故贵公司股本总额不变，增加股权激励限售股人民币</w:t>
      </w:r>
      <w:r>
        <w:rPr>
          <w:color w:val="auto"/>
          <w:lang w:eastAsia="zh-CN"/>
        </w:rPr>
        <w:t>427,626.00</w:t>
      </w:r>
      <w:r>
        <w:rPr>
          <w:rFonts w:hint="eastAsia"/>
          <w:color w:val="auto"/>
          <w:lang w:eastAsia="zh-CN"/>
        </w:rPr>
        <w:t>股，减少无限售条件流通股人民币</w:t>
      </w:r>
      <w:r>
        <w:rPr>
          <w:color w:val="auto"/>
          <w:lang w:eastAsia="zh-CN"/>
        </w:rPr>
        <w:t>427,626.00</w:t>
      </w:r>
      <w:r>
        <w:rPr>
          <w:rFonts w:hint="eastAsia"/>
          <w:color w:val="auto"/>
          <w:lang w:eastAsia="zh-CN"/>
        </w:rPr>
        <w:t>股。</w:t>
      </w:r>
    </w:p>
    <w:p>
      <w:pPr>
        <w:spacing w:line="360" w:lineRule="auto"/>
        <w:ind w:right="51" w:firstLine="482"/>
        <w:rPr>
          <w:color w:val="auto"/>
          <w:sz w:val="24"/>
          <w:lang w:eastAsia="zh-CN"/>
        </w:rPr>
      </w:pPr>
      <w:bookmarkStart w:id="3" w:name="四、本次授予限制性股票的上市日期"/>
      <w:bookmarkEnd w:id="3"/>
      <w:r>
        <w:rPr>
          <w:color w:val="auto"/>
          <w:sz w:val="24"/>
          <w:lang w:eastAsia="zh-CN"/>
        </w:rPr>
        <w:t>同时我们注意到，贵公司</w:t>
      </w:r>
      <w:r>
        <w:rPr>
          <w:rFonts w:hint="eastAsia"/>
          <w:color w:val="auto"/>
          <w:sz w:val="24"/>
          <w:lang w:eastAsia="zh-CN"/>
        </w:rPr>
        <w:t>限制性股票激励计划实施</w:t>
      </w:r>
      <w:r>
        <w:rPr>
          <w:color w:val="auto"/>
          <w:sz w:val="24"/>
          <w:lang w:eastAsia="zh-CN"/>
        </w:rPr>
        <w:t>前的注册资本为人民币169,032,648.00元，</w:t>
      </w:r>
      <w:r>
        <w:rPr>
          <w:rFonts w:hint="eastAsia"/>
          <w:color w:val="auto"/>
          <w:sz w:val="24"/>
          <w:lang w:eastAsia="zh-CN"/>
        </w:rPr>
        <w:t>股本为人民币</w:t>
      </w:r>
      <w:r>
        <w:rPr>
          <w:color w:val="auto"/>
          <w:sz w:val="24"/>
          <w:lang w:eastAsia="zh-CN"/>
        </w:rPr>
        <w:t>169,032,648.00</w:t>
      </w:r>
      <w:r>
        <w:rPr>
          <w:rFonts w:hint="eastAsia"/>
          <w:color w:val="auto"/>
          <w:sz w:val="24"/>
          <w:lang w:eastAsia="zh-CN"/>
        </w:rPr>
        <w:t>元，</w:t>
      </w:r>
      <w:r>
        <w:rPr>
          <w:color w:val="auto"/>
          <w:sz w:val="24"/>
          <w:lang w:eastAsia="zh-CN"/>
        </w:rPr>
        <w:t>已经和信会计师事务所（特殊普通合伙）出具和信验字（202</w:t>
      </w:r>
      <w:r>
        <w:rPr>
          <w:rFonts w:hint="eastAsia"/>
          <w:color w:val="auto"/>
          <w:sz w:val="24"/>
          <w:lang w:eastAsia="zh-CN"/>
        </w:rPr>
        <w:t>1</w:t>
      </w:r>
      <w:r>
        <w:rPr>
          <w:color w:val="auto"/>
          <w:sz w:val="24"/>
          <w:lang w:eastAsia="zh-CN"/>
        </w:rPr>
        <w:t>）第0000</w:t>
      </w:r>
      <w:r>
        <w:rPr>
          <w:rFonts w:hint="eastAsia"/>
          <w:color w:val="auto"/>
          <w:sz w:val="24"/>
          <w:lang w:eastAsia="zh-CN"/>
        </w:rPr>
        <w:t>51</w:t>
      </w:r>
      <w:r>
        <w:rPr>
          <w:color w:val="auto"/>
          <w:sz w:val="24"/>
          <w:lang w:eastAsia="zh-CN"/>
        </w:rPr>
        <w:t>号《验资报告》验证确认。</w:t>
      </w:r>
      <w:r>
        <w:rPr>
          <w:rFonts w:hint="eastAsia"/>
          <w:color w:val="auto"/>
          <w:sz w:val="24"/>
          <w:lang w:eastAsia="zh-CN"/>
        </w:rPr>
        <w:t>截至20</w:t>
      </w:r>
      <w:r>
        <w:rPr>
          <w:color w:val="auto"/>
          <w:sz w:val="24"/>
          <w:lang w:eastAsia="zh-CN"/>
        </w:rPr>
        <w:t>2</w:t>
      </w:r>
      <w:r>
        <w:rPr>
          <w:rFonts w:hint="eastAsia"/>
          <w:color w:val="auto"/>
          <w:sz w:val="24"/>
          <w:lang w:eastAsia="zh-CN"/>
        </w:rPr>
        <w:t>2年9月9日止，本次限制性股票激励计划未导致股本总额变动。</w:t>
      </w:r>
    </w:p>
    <w:p>
      <w:pPr>
        <w:pStyle w:val="2"/>
        <w:spacing w:afterLines="50"/>
        <w:ind w:left="0" w:firstLine="419" w:firstLineChars="183"/>
        <w:rPr>
          <w:color w:val="auto"/>
          <w:w w:val="95"/>
          <w:lang w:eastAsia="zh-CN"/>
        </w:rPr>
      </w:pPr>
      <w:r>
        <w:rPr>
          <w:color w:val="auto"/>
          <w:w w:val="95"/>
          <w:lang w:eastAsia="zh-CN"/>
        </w:rPr>
        <w:t>四、本次授予限制性股票的上市日期</w:t>
      </w:r>
    </w:p>
    <w:p>
      <w:pPr>
        <w:pStyle w:val="4"/>
        <w:spacing w:before="153" w:afterLines="50" w:line="338" w:lineRule="auto"/>
        <w:ind w:firstLine="424" w:firstLineChars="183"/>
        <w:jc w:val="both"/>
        <w:rPr>
          <w:color w:val="auto"/>
          <w:spacing w:val="-4"/>
          <w:lang w:eastAsia="zh-CN"/>
        </w:rPr>
      </w:pPr>
      <w:r>
        <w:rPr>
          <w:color w:val="auto"/>
          <w:spacing w:val="-4"/>
          <w:lang w:eastAsia="zh-CN"/>
        </w:rPr>
        <w:t>本次限制性股票激励计划</w:t>
      </w:r>
      <w:r>
        <w:rPr>
          <w:rFonts w:hint="eastAsia"/>
          <w:color w:val="auto"/>
          <w:spacing w:val="-4"/>
          <w:lang w:eastAsia="zh-CN"/>
        </w:rPr>
        <w:t>预留部分</w:t>
      </w:r>
      <w:r>
        <w:rPr>
          <w:color w:val="auto"/>
          <w:spacing w:val="-4"/>
          <w:lang w:eastAsia="zh-CN"/>
        </w:rPr>
        <w:t>的授予日为</w:t>
      </w:r>
      <w:r>
        <w:rPr>
          <w:rFonts w:hint="eastAsia"/>
          <w:color w:val="auto"/>
          <w:spacing w:val="-4"/>
          <w:lang w:eastAsia="zh-CN"/>
        </w:rPr>
        <w:t>2022</w:t>
      </w:r>
      <w:r>
        <w:rPr>
          <w:color w:val="auto"/>
          <w:spacing w:val="-4"/>
          <w:lang w:eastAsia="zh-CN"/>
        </w:rPr>
        <w:t>年</w:t>
      </w:r>
      <w:r>
        <w:rPr>
          <w:rFonts w:hint="eastAsia"/>
          <w:color w:val="auto"/>
          <w:spacing w:val="-4"/>
          <w:lang w:eastAsia="zh-CN"/>
        </w:rPr>
        <w:t>09</w:t>
      </w:r>
      <w:r>
        <w:rPr>
          <w:color w:val="auto"/>
          <w:spacing w:val="-4"/>
          <w:lang w:eastAsia="zh-CN"/>
        </w:rPr>
        <w:t>月</w:t>
      </w:r>
      <w:r>
        <w:rPr>
          <w:rFonts w:hint="eastAsia"/>
          <w:color w:val="auto"/>
          <w:spacing w:val="-4"/>
          <w:lang w:eastAsia="zh-CN"/>
        </w:rPr>
        <w:t>08</w:t>
      </w:r>
      <w:r>
        <w:rPr>
          <w:color w:val="auto"/>
          <w:spacing w:val="-4"/>
          <w:lang w:eastAsia="zh-CN"/>
        </w:rPr>
        <w:t>日，授予限制性股票的上市日期为</w:t>
      </w:r>
      <w:r>
        <w:rPr>
          <w:rFonts w:hint="eastAsia"/>
          <w:color w:val="auto"/>
          <w:spacing w:val="-4"/>
          <w:lang w:eastAsia="zh-CN"/>
        </w:rPr>
        <w:t>2022</w:t>
      </w:r>
      <w:r>
        <w:rPr>
          <w:color w:val="auto"/>
          <w:spacing w:val="-4"/>
          <w:lang w:eastAsia="zh-CN"/>
        </w:rPr>
        <w:t>年</w:t>
      </w:r>
      <w:r>
        <w:rPr>
          <w:rFonts w:hint="default"/>
          <w:color w:val="auto"/>
          <w:spacing w:val="-4"/>
          <w:lang w:val="en-US" w:eastAsia="zh-CN"/>
        </w:rPr>
        <w:t>09月22日</w:t>
      </w:r>
      <w:r>
        <w:rPr>
          <w:color w:val="auto"/>
          <w:spacing w:val="-4"/>
          <w:lang w:eastAsia="zh-CN"/>
        </w:rPr>
        <w:t>。</w:t>
      </w:r>
    </w:p>
    <w:p>
      <w:pPr>
        <w:pStyle w:val="2"/>
        <w:spacing w:afterLines="50"/>
        <w:ind w:left="0" w:firstLine="419" w:firstLineChars="183"/>
        <w:rPr>
          <w:color w:val="auto"/>
          <w:w w:val="95"/>
          <w:lang w:eastAsia="zh-CN"/>
        </w:rPr>
      </w:pPr>
      <w:bookmarkStart w:id="4" w:name="五、公司股份变动情况表"/>
      <w:bookmarkEnd w:id="4"/>
      <w:r>
        <w:rPr>
          <w:rFonts w:hint="eastAsia"/>
          <w:color w:val="auto"/>
          <w:w w:val="95"/>
          <w:lang w:eastAsia="zh-CN"/>
        </w:rPr>
        <w:t>五、</w:t>
      </w:r>
      <w:r>
        <w:rPr>
          <w:color w:val="auto"/>
          <w:w w:val="95"/>
          <w:lang w:eastAsia="zh-CN"/>
        </w:rPr>
        <w:t>公司股份变动情况表</w:t>
      </w:r>
    </w:p>
    <w:p>
      <w:pPr>
        <w:spacing w:afterLines="50"/>
        <w:rPr>
          <w:color w:val="auto"/>
          <w:lang w:eastAsia="zh-CN"/>
        </w:rPr>
      </w:pPr>
    </w:p>
    <w:tbl>
      <w:tblPr>
        <w:tblStyle w:val="9"/>
        <w:tblW w:w="8353" w:type="dxa"/>
        <w:tblInd w:w="93" w:type="dxa"/>
        <w:tblLayout w:type="fixed"/>
        <w:tblCellMar>
          <w:top w:w="0" w:type="dxa"/>
          <w:left w:w="108" w:type="dxa"/>
          <w:bottom w:w="0" w:type="dxa"/>
          <w:right w:w="108" w:type="dxa"/>
        </w:tblCellMar>
      </w:tblPr>
      <w:tblGrid>
        <w:gridCol w:w="1463"/>
        <w:gridCol w:w="1591"/>
        <w:gridCol w:w="1079"/>
        <w:gridCol w:w="1573"/>
        <w:gridCol w:w="1591"/>
        <w:gridCol w:w="1056"/>
      </w:tblGrid>
      <w:tr>
        <w:tblPrEx>
          <w:tblCellMar>
            <w:top w:w="0" w:type="dxa"/>
            <w:left w:w="108" w:type="dxa"/>
            <w:bottom w:w="0" w:type="dxa"/>
            <w:right w:w="108" w:type="dxa"/>
          </w:tblCellMar>
        </w:tblPrEx>
        <w:trPr>
          <w:trHeight w:val="525" w:hRule="atLeast"/>
        </w:trPr>
        <w:tc>
          <w:tcPr>
            <w:tcW w:w="1463" w:type="dxa"/>
            <w:vMerge w:val="restart"/>
            <w:tcBorders>
              <w:top w:val="single" w:color="000000" w:sz="8" w:space="0"/>
              <w:left w:val="single" w:color="000000" w:sz="8" w:space="0"/>
              <w:bottom w:val="single" w:color="000000" w:sz="8" w:space="0"/>
              <w:right w:val="single" w:color="000000" w:sz="8" w:space="0"/>
            </w:tcBorders>
            <w:shd w:val="pct25" w:color="auto" w:fill="auto"/>
            <w:noWrap/>
            <w:vAlign w:val="center"/>
          </w:tcPr>
          <w:p>
            <w:pPr>
              <w:jc w:val="center"/>
              <w:rPr>
                <w:color w:val="auto"/>
                <w:lang w:eastAsia="zh-CN"/>
              </w:rPr>
            </w:pPr>
          </w:p>
        </w:tc>
        <w:tc>
          <w:tcPr>
            <w:tcW w:w="2670" w:type="dxa"/>
            <w:gridSpan w:val="2"/>
            <w:tcBorders>
              <w:top w:val="single" w:color="000000" w:sz="8" w:space="0"/>
              <w:left w:val="single" w:color="000000" w:sz="8" w:space="0"/>
              <w:bottom w:val="single" w:color="000000" w:sz="8" w:space="0"/>
              <w:right w:val="single" w:color="000000" w:sz="8" w:space="0"/>
            </w:tcBorders>
            <w:shd w:val="pct25" w:color="auto" w:fill="auto"/>
            <w:vAlign w:val="center"/>
          </w:tcPr>
          <w:p>
            <w:pPr>
              <w:widowControl/>
              <w:jc w:val="center"/>
              <w:textAlignment w:val="top"/>
              <w:rPr>
                <w:b/>
                <w:bCs/>
                <w:color w:val="auto"/>
                <w:sz w:val="21"/>
                <w:szCs w:val="21"/>
              </w:rPr>
            </w:pPr>
            <w:r>
              <w:rPr>
                <w:rFonts w:hint="eastAsia"/>
                <w:b/>
                <w:bCs/>
                <w:color w:val="auto"/>
                <w:sz w:val="21"/>
                <w:szCs w:val="21"/>
                <w:lang w:eastAsia="zh-CN"/>
              </w:rPr>
              <w:t>本次变动前</w:t>
            </w:r>
          </w:p>
        </w:tc>
        <w:tc>
          <w:tcPr>
            <w:tcW w:w="1573" w:type="dxa"/>
            <w:tcBorders>
              <w:top w:val="single" w:color="000000" w:sz="8" w:space="0"/>
              <w:left w:val="single" w:color="000000" w:sz="8" w:space="0"/>
              <w:bottom w:val="single" w:color="000000" w:sz="8" w:space="0"/>
              <w:right w:val="single" w:color="000000" w:sz="8" w:space="0"/>
            </w:tcBorders>
            <w:shd w:val="pct25" w:color="auto" w:fill="auto"/>
            <w:vAlign w:val="center"/>
          </w:tcPr>
          <w:p>
            <w:pPr>
              <w:widowControl/>
              <w:jc w:val="center"/>
              <w:textAlignment w:val="top"/>
              <w:rPr>
                <w:b/>
                <w:bCs/>
                <w:color w:val="auto"/>
                <w:sz w:val="21"/>
                <w:szCs w:val="21"/>
              </w:rPr>
            </w:pPr>
            <w:r>
              <w:rPr>
                <w:rFonts w:hint="eastAsia"/>
                <w:b/>
                <w:bCs/>
                <w:color w:val="auto"/>
                <w:sz w:val="21"/>
                <w:szCs w:val="21"/>
                <w:lang w:eastAsia="zh-CN"/>
              </w:rPr>
              <w:t>本次变动增减</w:t>
            </w:r>
          </w:p>
        </w:tc>
        <w:tc>
          <w:tcPr>
            <w:tcW w:w="2647" w:type="dxa"/>
            <w:gridSpan w:val="2"/>
            <w:tcBorders>
              <w:top w:val="single" w:color="000000" w:sz="8" w:space="0"/>
              <w:left w:val="single" w:color="000000" w:sz="8" w:space="0"/>
              <w:bottom w:val="single" w:color="000000" w:sz="8" w:space="0"/>
              <w:right w:val="single" w:color="000000" w:sz="8" w:space="0"/>
            </w:tcBorders>
            <w:shd w:val="pct25" w:color="auto" w:fill="auto"/>
            <w:vAlign w:val="center"/>
          </w:tcPr>
          <w:p>
            <w:pPr>
              <w:widowControl/>
              <w:jc w:val="center"/>
              <w:textAlignment w:val="top"/>
              <w:rPr>
                <w:b/>
                <w:bCs/>
                <w:color w:val="auto"/>
                <w:sz w:val="21"/>
                <w:szCs w:val="21"/>
              </w:rPr>
            </w:pPr>
            <w:r>
              <w:rPr>
                <w:rFonts w:hint="eastAsia"/>
                <w:b/>
                <w:bCs/>
                <w:color w:val="auto"/>
                <w:sz w:val="21"/>
                <w:szCs w:val="21"/>
                <w:lang w:eastAsia="zh-CN"/>
              </w:rPr>
              <w:t>本次变动后</w:t>
            </w:r>
          </w:p>
        </w:tc>
      </w:tr>
      <w:tr>
        <w:tblPrEx>
          <w:tblCellMar>
            <w:top w:w="0" w:type="dxa"/>
            <w:left w:w="108" w:type="dxa"/>
            <w:bottom w:w="0" w:type="dxa"/>
            <w:right w:w="108" w:type="dxa"/>
          </w:tblCellMar>
        </w:tblPrEx>
        <w:trPr>
          <w:trHeight w:val="525" w:hRule="atLeast"/>
        </w:trPr>
        <w:tc>
          <w:tcPr>
            <w:tcW w:w="1463" w:type="dxa"/>
            <w:vMerge w:val="continue"/>
            <w:tcBorders>
              <w:top w:val="single" w:color="000000" w:sz="8" w:space="0"/>
              <w:left w:val="single" w:color="000000" w:sz="8" w:space="0"/>
              <w:bottom w:val="single" w:color="000000" w:sz="8" w:space="0"/>
              <w:right w:val="single" w:color="000000" w:sz="8" w:space="0"/>
            </w:tcBorders>
            <w:shd w:val="pct25" w:color="auto" w:fill="auto"/>
            <w:noWrap/>
            <w:vAlign w:val="center"/>
          </w:tcPr>
          <w:p>
            <w:pPr>
              <w:jc w:val="center"/>
              <w:rPr>
                <w:color w:val="auto"/>
              </w:rPr>
            </w:pPr>
          </w:p>
        </w:tc>
        <w:tc>
          <w:tcPr>
            <w:tcW w:w="1591" w:type="dxa"/>
            <w:tcBorders>
              <w:top w:val="nil"/>
              <w:left w:val="single" w:color="000000" w:sz="8" w:space="0"/>
              <w:bottom w:val="single" w:color="000000" w:sz="8" w:space="0"/>
              <w:right w:val="single" w:color="000000" w:sz="8" w:space="0"/>
            </w:tcBorders>
            <w:shd w:val="pct25" w:color="auto" w:fill="auto"/>
            <w:vAlign w:val="center"/>
          </w:tcPr>
          <w:p>
            <w:pPr>
              <w:widowControl/>
              <w:jc w:val="center"/>
              <w:textAlignment w:val="top"/>
              <w:rPr>
                <w:b/>
                <w:bCs/>
                <w:color w:val="auto"/>
                <w:sz w:val="21"/>
                <w:szCs w:val="21"/>
              </w:rPr>
            </w:pPr>
            <w:r>
              <w:rPr>
                <w:rFonts w:hint="eastAsia"/>
                <w:b/>
                <w:bCs/>
                <w:color w:val="auto"/>
                <w:sz w:val="21"/>
                <w:szCs w:val="21"/>
                <w:lang w:eastAsia="zh-CN"/>
              </w:rPr>
              <w:t>数量（股）</w:t>
            </w:r>
          </w:p>
        </w:tc>
        <w:tc>
          <w:tcPr>
            <w:tcW w:w="1079" w:type="dxa"/>
            <w:tcBorders>
              <w:top w:val="nil"/>
              <w:left w:val="single" w:color="000000" w:sz="8" w:space="0"/>
              <w:bottom w:val="single" w:color="000000" w:sz="8" w:space="0"/>
              <w:right w:val="single" w:color="000000" w:sz="8" w:space="0"/>
            </w:tcBorders>
            <w:shd w:val="pct25" w:color="auto" w:fill="auto"/>
            <w:vAlign w:val="center"/>
          </w:tcPr>
          <w:p>
            <w:pPr>
              <w:widowControl/>
              <w:jc w:val="center"/>
              <w:textAlignment w:val="top"/>
              <w:rPr>
                <w:b/>
                <w:bCs/>
                <w:color w:val="auto"/>
                <w:sz w:val="21"/>
                <w:szCs w:val="21"/>
              </w:rPr>
            </w:pPr>
            <w:r>
              <w:rPr>
                <w:rFonts w:hint="eastAsia"/>
                <w:b/>
                <w:bCs/>
                <w:color w:val="auto"/>
                <w:sz w:val="21"/>
                <w:szCs w:val="21"/>
                <w:lang w:eastAsia="zh-CN"/>
              </w:rPr>
              <w:t>比例（%）</w:t>
            </w:r>
          </w:p>
        </w:tc>
        <w:tc>
          <w:tcPr>
            <w:tcW w:w="1573" w:type="dxa"/>
            <w:tcBorders>
              <w:top w:val="nil"/>
              <w:left w:val="single" w:color="000000" w:sz="8" w:space="0"/>
              <w:bottom w:val="single" w:color="000000" w:sz="8" w:space="0"/>
              <w:right w:val="single" w:color="000000" w:sz="8" w:space="0"/>
            </w:tcBorders>
            <w:shd w:val="pct25" w:color="auto" w:fill="auto"/>
            <w:vAlign w:val="center"/>
          </w:tcPr>
          <w:p>
            <w:pPr>
              <w:widowControl/>
              <w:jc w:val="center"/>
              <w:textAlignment w:val="top"/>
              <w:rPr>
                <w:b/>
                <w:bCs/>
                <w:color w:val="auto"/>
                <w:sz w:val="21"/>
                <w:szCs w:val="21"/>
              </w:rPr>
            </w:pPr>
            <w:r>
              <w:rPr>
                <w:rFonts w:hint="eastAsia"/>
                <w:b/>
                <w:bCs/>
                <w:color w:val="auto"/>
                <w:sz w:val="21"/>
                <w:szCs w:val="21"/>
                <w:lang w:eastAsia="zh-CN"/>
              </w:rPr>
              <w:t>（股）</w:t>
            </w:r>
          </w:p>
        </w:tc>
        <w:tc>
          <w:tcPr>
            <w:tcW w:w="1591" w:type="dxa"/>
            <w:tcBorders>
              <w:top w:val="single" w:color="000000" w:sz="8" w:space="0"/>
              <w:left w:val="single" w:color="000000" w:sz="8" w:space="0"/>
              <w:bottom w:val="single" w:color="000000" w:sz="8" w:space="0"/>
              <w:right w:val="single" w:color="000000" w:sz="8" w:space="0"/>
            </w:tcBorders>
            <w:shd w:val="pct25" w:color="auto" w:fill="auto"/>
            <w:vAlign w:val="center"/>
          </w:tcPr>
          <w:p>
            <w:pPr>
              <w:widowControl/>
              <w:jc w:val="center"/>
              <w:textAlignment w:val="top"/>
              <w:rPr>
                <w:b/>
                <w:bCs/>
                <w:color w:val="auto"/>
                <w:sz w:val="21"/>
                <w:szCs w:val="21"/>
              </w:rPr>
            </w:pPr>
            <w:r>
              <w:rPr>
                <w:rFonts w:hint="eastAsia"/>
                <w:b/>
                <w:bCs/>
                <w:color w:val="auto"/>
                <w:sz w:val="21"/>
                <w:szCs w:val="21"/>
                <w:lang w:eastAsia="zh-CN"/>
              </w:rPr>
              <w:t>数量（股）</w:t>
            </w:r>
          </w:p>
        </w:tc>
        <w:tc>
          <w:tcPr>
            <w:tcW w:w="1056" w:type="dxa"/>
            <w:tcBorders>
              <w:top w:val="single" w:color="000000" w:sz="8" w:space="0"/>
              <w:left w:val="single" w:color="000000" w:sz="8" w:space="0"/>
              <w:bottom w:val="single" w:color="000000" w:sz="8" w:space="0"/>
              <w:right w:val="single" w:color="000000" w:sz="8" w:space="0"/>
            </w:tcBorders>
            <w:shd w:val="pct25" w:color="auto" w:fill="auto"/>
            <w:vAlign w:val="center"/>
          </w:tcPr>
          <w:p>
            <w:pPr>
              <w:widowControl/>
              <w:jc w:val="center"/>
              <w:textAlignment w:val="top"/>
              <w:rPr>
                <w:b/>
                <w:bCs/>
                <w:color w:val="auto"/>
                <w:sz w:val="21"/>
                <w:szCs w:val="21"/>
              </w:rPr>
            </w:pPr>
            <w:r>
              <w:rPr>
                <w:rFonts w:hint="eastAsia"/>
                <w:b/>
                <w:bCs/>
                <w:color w:val="auto"/>
                <w:sz w:val="21"/>
                <w:szCs w:val="21"/>
                <w:lang w:eastAsia="zh-CN"/>
              </w:rPr>
              <w:t>比例（%）</w:t>
            </w:r>
          </w:p>
        </w:tc>
      </w:tr>
      <w:tr>
        <w:tblPrEx>
          <w:tblCellMar>
            <w:top w:w="0" w:type="dxa"/>
            <w:left w:w="108" w:type="dxa"/>
            <w:bottom w:w="0" w:type="dxa"/>
            <w:right w:w="108" w:type="dxa"/>
          </w:tblCellMar>
        </w:tblPrEx>
        <w:trPr>
          <w:trHeight w:val="525" w:hRule="atLeast"/>
        </w:trPr>
        <w:tc>
          <w:tcPr>
            <w:tcW w:w="1463"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top"/>
              <w:rPr>
                <w:b/>
                <w:bCs/>
                <w:color w:val="auto"/>
                <w:sz w:val="21"/>
                <w:szCs w:val="21"/>
              </w:rPr>
            </w:pPr>
            <w:r>
              <w:rPr>
                <w:rFonts w:hint="eastAsia"/>
                <w:b/>
                <w:bCs/>
                <w:color w:val="auto"/>
                <w:sz w:val="21"/>
                <w:szCs w:val="21"/>
                <w:lang w:eastAsia="zh-CN"/>
              </w:rPr>
              <w:t>一、限售流通股</w:t>
            </w:r>
          </w:p>
        </w:tc>
        <w:tc>
          <w:tcPr>
            <w:tcW w:w="1591" w:type="dxa"/>
            <w:tcBorders>
              <w:top w:val="nil"/>
              <w:left w:val="single" w:color="000000" w:sz="8" w:space="0"/>
              <w:bottom w:val="single" w:color="000000" w:sz="8" w:space="0"/>
              <w:right w:val="single" w:color="000000" w:sz="8" w:space="0"/>
            </w:tcBorders>
            <w:shd w:val="clear" w:color="auto" w:fill="auto"/>
            <w:vAlign w:val="center"/>
          </w:tcPr>
          <w:p>
            <w:pPr>
              <w:widowControl/>
              <w:ind w:firstLine="210" w:firstLineChars="100"/>
              <w:jc w:val="center"/>
              <w:textAlignment w:val="top"/>
              <w:rPr>
                <w:color w:val="auto"/>
                <w:sz w:val="21"/>
                <w:szCs w:val="21"/>
              </w:rPr>
            </w:pPr>
            <w:r>
              <w:rPr>
                <w:rFonts w:hint="eastAsia"/>
                <w:color w:val="auto"/>
                <w:sz w:val="21"/>
                <w:szCs w:val="21"/>
                <w:lang w:eastAsia="zh-CN"/>
              </w:rPr>
              <w:t>80,544,365</w:t>
            </w:r>
          </w:p>
        </w:tc>
        <w:tc>
          <w:tcPr>
            <w:tcW w:w="1079" w:type="dxa"/>
            <w:tcBorders>
              <w:top w:val="nil"/>
              <w:left w:val="single" w:color="000000" w:sz="8" w:space="0"/>
              <w:bottom w:val="single" w:color="000000" w:sz="8" w:space="0"/>
              <w:right w:val="single" w:color="000000" w:sz="8" w:space="0"/>
            </w:tcBorders>
            <w:shd w:val="clear" w:color="auto" w:fill="auto"/>
            <w:vAlign w:val="center"/>
          </w:tcPr>
          <w:p>
            <w:pPr>
              <w:widowControl/>
              <w:ind w:firstLine="210" w:firstLineChars="100"/>
              <w:jc w:val="center"/>
              <w:textAlignment w:val="top"/>
              <w:rPr>
                <w:color w:val="auto"/>
                <w:sz w:val="21"/>
                <w:szCs w:val="21"/>
              </w:rPr>
            </w:pPr>
            <w:r>
              <w:rPr>
                <w:rFonts w:hint="eastAsia"/>
                <w:color w:val="auto"/>
                <w:sz w:val="21"/>
                <w:szCs w:val="21"/>
                <w:lang w:eastAsia="zh-CN"/>
              </w:rPr>
              <w:t>47.65%</w:t>
            </w:r>
          </w:p>
        </w:tc>
        <w:tc>
          <w:tcPr>
            <w:tcW w:w="1573" w:type="dxa"/>
            <w:tcBorders>
              <w:top w:val="nil"/>
              <w:left w:val="single" w:color="000000" w:sz="8" w:space="0"/>
              <w:bottom w:val="single" w:color="000000" w:sz="8" w:space="0"/>
              <w:right w:val="single" w:color="000000" w:sz="8" w:space="0"/>
            </w:tcBorders>
            <w:shd w:val="clear" w:color="auto" w:fill="auto"/>
            <w:vAlign w:val="center"/>
          </w:tcPr>
          <w:p>
            <w:pPr>
              <w:widowControl/>
              <w:ind w:firstLine="210" w:firstLineChars="100"/>
              <w:jc w:val="center"/>
              <w:textAlignment w:val="top"/>
              <w:rPr>
                <w:color w:val="auto"/>
                <w:sz w:val="21"/>
                <w:szCs w:val="21"/>
              </w:rPr>
            </w:pPr>
            <w:r>
              <w:rPr>
                <w:rFonts w:hint="eastAsia"/>
                <w:color w:val="auto"/>
                <w:sz w:val="21"/>
                <w:szCs w:val="21"/>
                <w:lang w:eastAsia="zh-CN"/>
              </w:rPr>
              <w:t>427,626</w:t>
            </w:r>
          </w:p>
        </w:tc>
        <w:tc>
          <w:tcPr>
            <w:tcW w:w="1591"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top"/>
              <w:rPr>
                <w:color w:val="auto"/>
                <w:sz w:val="21"/>
                <w:szCs w:val="21"/>
              </w:rPr>
            </w:pPr>
            <w:r>
              <w:rPr>
                <w:rFonts w:hint="eastAsia"/>
                <w:color w:val="auto"/>
                <w:sz w:val="21"/>
                <w:szCs w:val="21"/>
                <w:lang w:eastAsia="zh-CN"/>
              </w:rPr>
              <w:t>80,971,991</w:t>
            </w:r>
          </w:p>
        </w:tc>
        <w:tc>
          <w:tcPr>
            <w:tcW w:w="1056"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top"/>
              <w:rPr>
                <w:color w:val="auto"/>
                <w:sz w:val="21"/>
                <w:szCs w:val="21"/>
              </w:rPr>
            </w:pPr>
            <w:r>
              <w:rPr>
                <w:rFonts w:hint="eastAsia"/>
                <w:color w:val="auto"/>
                <w:sz w:val="21"/>
                <w:szCs w:val="21"/>
                <w:lang w:eastAsia="zh-CN"/>
              </w:rPr>
              <w:t>47.90%</w:t>
            </w:r>
          </w:p>
        </w:tc>
      </w:tr>
      <w:tr>
        <w:tblPrEx>
          <w:tblCellMar>
            <w:top w:w="0" w:type="dxa"/>
            <w:left w:w="108" w:type="dxa"/>
            <w:bottom w:w="0" w:type="dxa"/>
            <w:right w:w="108" w:type="dxa"/>
          </w:tblCellMar>
        </w:tblPrEx>
        <w:trPr>
          <w:trHeight w:val="780" w:hRule="atLeast"/>
        </w:trPr>
        <w:tc>
          <w:tcPr>
            <w:tcW w:w="1463"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top"/>
              <w:rPr>
                <w:b/>
                <w:bCs/>
                <w:color w:val="auto"/>
                <w:sz w:val="21"/>
                <w:szCs w:val="21"/>
              </w:rPr>
            </w:pPr>
            <w:r>
              <w:rPr>
                <w:rFonts w:hint="eastAsia"/>
                <w:b/>
                <w:bCs/>
                <w:color w:val="auto"/>
                <w:sz w:val="21"/>
                <w:szCs w:val="21"/>
                <w:lang w:eastAsia="zh-CN"/>
              </w:rPr>
              <w:t>其中：高管锁定股份</w:t>
            </w:r>
          </w:p>
        </w:tc>
        <w:tc>
          <w:tcPr>
            <w:tcW w:w="1591" w:type="dxa"/>
            <w:tcBorders>
              <w:top w:val="nil"/>
              <w:left w:val="single" w:color="000000" w:sz="8" w:space="0"/>
              <w:bottom w:val="single" w:color="000000" w:sz="8" w:space="0"/>
              <w:right w:val="single" w:color="000000" w:sz="8" w:space="0"/>
            </w:tcBorders>
            <w:shd w:val="clear" w:color="auto" w:fill="auto"/>
            <w:vAlign w:val="center"/>
          </w:tcPr>
          <w:p>
            <w:pPr>
              <w:widowControl/>
              <w:ind w:firstLine="210" w:firstLineChars="100"/>
              <w:jc w:val="center"/>
              <w:textAlignment w:val="top"/>
              <w:rPr>
                <w:color w:val="auto"/>
                <w:sz w:val="21"/>
                <w:szCs w:val="21"/>
              </w:rPr>
            </w:pPr>
            <w:r>
              <w:rPr>
                <w:rFonts w:hint="eastAsia"/>
                <w:color w:val="auto"/>
                <w:sz w:val="21"/>
                <w:szCs w:val="21"/>
                <w:lang w:eastAsia="zh-CN"/>
              </w:rPr>
              <w:t>77,824,365</w:t>
            </w:r>
          </w:p>
        </w:tc>
        <w:tc>
          <w:tcPr>
            <w:tcW w:w="1079" w:type="dxa"/>
            <w:tcBorders>
              <w:top w:val="nil"/>
              <w:left w:val="single" w:color="000000" w:sz="8" w:space="0"/>
              <w:bottom w:val="single" w:color="000000" w:sz="8" w:space="0"/>
              <w:right w:val="single" w:color="000000" w:sz="8" w:space="0"/>
            </w:tcBorders>
            <w:shd w:val="clear" w:color="auto" w:fill="auto"/>
            <w:vAlign w:val="center"/>
          </w:tcPr>
          <w:p>
            <w:pPr>
              <w:widowControl/>
              <w:ind w:firstLine="210" w:firstLineChars="100"/>
              <w:jc w:val="center"/>
              <w:textAlignment w:val="top"/>
              <w:rPr>
                <w:color w:val="auto"/>
                <w:sz w:val="21"/>
                <w:szCs w:val="21"/>
              </w:rPr>
            </w:pPr>
            <w:r>
              <w:rPr>
                <w:rFonts w:hint="eastAsia"/>
                <w:color w:val="auto"/>
                <w:sz w:val="21"/>
                <w:szCs w:val="21"/>
                <w:lang w:eastAsia="zh-CN"/>
              </w:rPr>
              <w:t>46.04%</w:t>
            </w:r>
          </w:p>
        </w:tc>
        <w:tc>
          <w:tcPr>
            <w:tcW w:w="1573" w:type="dxa"/>
            <w:tcBorders>
              <w:top w:val="nil"/>
              <w:left w:val="single" w:color="000000" w:sz="8" w:space="0"/>
              <w:bottom w:val="single" w:color="000000" w:sz="8" w:space="0"/>
              <w:right w:val="single" w:color="000000" w:sz="8" w:space="0"/>
            </w:tcBorders>
            <w:shd w:val="clear" w:color="auto" w:fill="auto"/>
            <w:vAlign w:val="center"/>
          </w:tcPr>
          <w:p>
            <w:pPr>
              <w:widowControl/>
              <w:ind w:firstLine="210" w:firstLineChars="100"/>
              <w:jc w:val="center"/>
              <w:textAlignment w:val="top"/>
              <w:rPr>
                <w:color w:val="auto"/>
                <w:sz w:val="21"/>
                <w:szCs w:val="21"/>
              </w:rPr>
            </w:pPr>
            <w:r>
              <w:rPr>
                <w:rFonts w:hint="eastAsia"/>
                <w:color w:val="auto"/>
                <w:sz w:val="21"/>
                <w:szCs w:val="21"/>
                <w:lang w:eastAsia="zh-CN"/>
              </w:rPr>
              <w:t>-</w:t>
            </w:r>
          </w:p>
        </w:tc>
        <w:tc>
          <w:tcPr>
            <w:tcW w:w="1591"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top"/>
              <w:rPr>
                <w:color w:val="auto"/>
                <w:sz w:val="21"/>
                <w:szCs w:val="21"/>
              </w:rPr>
            </w:pPr>
            <w:r>
              <w:rPr>
                <w:rFonts w:hint="eastAsia"/>
                <w:color w:val="auto"/>
                <w:sz w:val="21"/>
                <w:szCs w:val="21"/>
                <w:lang w:eastAsia="zh-CN"/>
              </w:rPr>
              <w:t>77,824,365</w:t>
            </w:r>
          </w:p>
        </w:tc>
        <w:tc>
          <w:tcPr>
            <w:tcW w:w="1056"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top"/>
              <w:rPr>
                <w:color w:val="auto"/>
                <w:sz w:val="21"/>
                <w:szCs w:val="21"/>
              </w:rPr>
            </w:pPr>
            <w:r>
              <w:rPr>
                <w:rFonts w:hint="eastAsia"/>
                <w:color w:val="auto"/>
                <w:sz w:val="21"/>
                <w:szCs w:val="21"/>
                <w:lang w:eastAsia="zh-CN"/>
              </w:rPr>
              <w:t>46.04%</w:t>
            </w:r>
          </w:p>
        </w:tc>
      </w:tr>
      <w:tr>
        <w:tblPrEx>
          <w:tblCellMar>
            <w:top w:w="0" w:type="dxa"/>
            <w:left w:w="108" w:type="dxa"/>
            <w:bottom w:w="0" w:type="dxa"/>
            <w:right w:w="108" w:type="dxa"/>
          </w:tblCellMar>
        </w:tblPrEx>
        <w:trPr>
          <w:trHeight w:val="1035" w:hRule="atLeast"/>
        </w:trPr>
        <w:tc>
          <w:tcPr>
            <w:tcW w:w="1463" w:type="dxa"/>
            <w:tcBorders>
              <w:top w:val="nil"/>
              <w:left w:val="single" w:color="000000" w:sz="8" w:space="0"/>
              <w:bottom w:val="single" w:color="000000" w:sz="8" w:space="0"/>
              <w:right w:val="single" w:color="000000" w:sz="8" w:space="0"/>
            </w:tcBorders>
            <w:shd w:val="clear" w:color="auto" w:fill="auto"/>
            <w:vAlign w:val="center"/>
          </w:tcPr>
          <w:p>
            <w:pPr>
              <w:widowControl/>
              <w:ind w:firstLine="422" w:firstLineChars="200"/>
              <w:jc w:val="center"/>
              <w:textAlignment w:val="top"/>
              <w:rPr>
                <w:b/>
                <w:bCs/>
                <w:color w:val="auto"/>
                <w:sz w:val="21"/>
                <w:szCs w:val="21"/>
              </w:rPr>
            </w:pPr>
            <w:r>
              <w:rPr>
                <w:rFonts w:hint="eastAsia"/>
                <w:b/>
                <w:bCs/>
                <w:color w:val="auto"/>
                <w:sz w:val="21"/>
                <w:szCs w:val="21"/>
                <w:lang w:eastAsia="zh-CN"/>
              </w:rPr>
              <w:t>股权激励限售股</w:t>
            </w:r>
          </w:p>
        </w:tc>
        <w:tc>
          <w:tcPr>
            <w:tcW w:w="1591" w:type="dxa"/>
            <w:tcBorders>
              <w:top w:val="nil"/>
              <w:left w:val="single" w:color="000000" w:sz="8" w:space="0"/>
              <w:bottom w:val="single" w:color="000000" w:sz="8" w:space="0"/>
              <w:right w:val="single" w:color="000000" w:sz="8" w:space="0"/>
            </w:tcBorders>
            <w:shd w:val="clear" w:color="auto" w:fill="auto"/>
            <w:vAlign w:val="center"/>
          </w:tcPr>
          <w:p>
            <w:pPr>
              <w:widowControl/>
              <w:ind w:firstLine="210" w:firstLineChars="100"/>
              <w:jc w:val="center"/>
              <w:textAlignment w:val="top"/>
              <w:rPr>
                <w:color w:val="auto"/>
                <w:sz w:val="21"/>
                <w:szCs w:val="21"/>
              </w:rPr>
            </w:pPr>
            <w:r>
              <w:rPr>
                <w:rFonts w:hint="eastAsia"/>
                <w:color w:val="auto"/>
                <w:sz w:val="21"/>
                <w:szCs w:val="21"/>
                <w:lang w:eastAsia="zh-CN"/>
              </w:rPr>
              <w:t>2,720,000</w:t>
            </w:r>
          </w:p>
        </w:tc>
        <w:tc>
          <w:tcPr>
            <w:tcW w:w="1079" w:type="dxa"/>
            <w:tcBorders>
              <w:top w:val="nil"/>
              <w:left w:val="single" w:color="000000" w:sz="8" w:space="0"/>
              <w:bottom w:val="single" w:color="000000" w:sz="8" w:space="0"/>
              <w:right w:val="single" w:color="000000" w:sz="8" w:space="0"/>
            </w:tcBorders>
            <w:shd w:val="clear" w:color="auto" w:fill="auto"/>
            <w:vAlign w:val="center"/>
          </w:tcPr>
          <w:p>
            <w:pPr>
              <w:widowControl/>
              <w:ind w:firstLine="210" w:firstLineChars="100"/>
              <w:jc w:val="center"/>
              <w:textAlignment w:val="top"/>
              <w:rPr>
                <w:color w:val="auto"/>
                <w:sz w:val="21"/>
                <w:szCs w:val="21"/>
              </w:rPr>
            </w:pPr>
            <w:r>
              <w:rPr>
                <w:rFonts w:hint="eastAsia"/>
                <w:color w:val="auto"/>
                <w:sz w:val="21"/>
                <w:szCs w:val="21"/>
                <w:lang w:eastAsia="zh-CN"/>
              </w:rPr>
              <w:t>1.61%</w:t>
            </w:r>
          </w:p>
        </w:tc>
        <w:tc>
          <w:tcPr>
            <w:tcW w:w="1573" w:type="dxa"/>
            <w:tcBorders>
              <w:top w:val="nil"/>
              <w:left w:val="single" w:color="000000" w:sz="8" w:space="0"/>
              <w:bottom w:val="single" w:color="000000" w:sz="8" w:space="0"/>
              <w:right w:val="single" w:color="000000" w:sz="8" w:space="0"/>
            </w:tcBorders>
            <w:shd w:val="clear" w:color="auto" w:fill="auto"/>
            <w:vAlign w:val="center"/>
          </w:tcPr>
          <w:p>
            <w:pPr>
              <w:widowControl/>
              <w:ind w:firstLine="210" w:firstLineChars="100"/>
              <w:jc w:val="center"/>
              <w:textAlignment w:val="top"/>
              <w:rPr>
                <w:color w:val="auto"/>
                <w:sz w:val="21"/>
                <w:szCs w:val="21"/>
              </w:rPr>
            </w:pPr>
            <w:r>
              <w:rPr>
                <w:rFonts w:hint="eastAsia"/>
                <w:color w:val="auto"/>
                <w:sz w:val="21"/>
                <w:szCs w:val="21"/>
                <w:lang w:eastAsia="zh-CN"/>
              </w:rPr>
              <w:t>427,626</w:t>
            </w:r>
          </w:p>
        </w:tc>
        <w:tc>
          <w:tcPr>
            <w:tcW w:w="1591"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top"/>
              <w:rPr>
                <w:color w:val="auto"/>
                <w:sz w:val="21"/>
                <w:szCs w:val="21"/>
              </w:rPr>
            </w:pPr>
            <w:r>
              <w:rPr>
                <w:rFonts w:hint="eastAsia"/>
                <w:color w:val="auto"/>
                <w:sz w:val="21"/>
                <w:szCs w:val="21"/>
                <w:lang w:eastAsia="zh-CN"/>
              </w:rPr>
              <w:t>3,147,626</w:t>
            </w:r>
          </w:p>
        </w:tc>
        <w:tc>
          <w:tcPr>
            <w:tcW w:w="1056"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top"/>
              <w:rPr>
                <w:color w:val="auto"/>
                <w:sz w:val="21"/>
                <w:szCs w:val="21"/>
              </w:rPr>
            </w:pPr>
            <w:r>
              <w:rPr>
                <w:rFonts w:hint="eastAsia"/>
                <w:color w:val="auto"/>
                <w:sz w:val="21"/>
                <w:szCs w:val="21"/>
                <w:lang w:eastAsia="zh-CN"/>
              </w:rPr>
              <w:t>1.86%</w:t>
            </w:r>
          </w:p>
        </w:tc>
      </w:tr>
      <w:tr>
        <w:tblPrEx>
          <w:tblCellMar>
            <w:top w:w="0" w:type="dxa"/>
            <w:left w:w="108" w:type="dxa"/>
            <w:bottom w:w="0" w:type="dxa"/>
            <w:right w:w="108" w:type="dxa"/>
          </w:tblCellMar>
        </w:tblPrEx>
        <w:trPr>
          <w:trHeight w:val="525" w:hRule="atLeast"/>
        </w:trPr>
        <w:tc>
          <w:tcPr>
            <w:tcW w:w="1463"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top"/>
              <w:rPr>
                <w:b/>
                <w:bCs/>
                <w:color w:val="auto"/>
                <w:sz w:val="21"/>
                <w:szCs w:val="21"/>
              </w:rPr>
            </w:pPr>
            <w:r>
              <w:rPr>
                <w:rFonts w:hint="eastAsia"/>
                <w:b/>
                <w:bCs/>
                <w:color w:val="auto"/>
                <w:sz w:val="21"/>
                <w:szCs w:val="21"/>
                <w:lang w:eastAsia="zh-CN"/>
              </w:rPr>
              <w:t>二、无限售流通股</w:t>
            </w:r>
          </w:p>
        </w:tc>
        <w:tc>
          <w:tcPr>
            <w:tcW w:w="1591" w:type="dxa"/>
            <w:tcBorders>
              <w:top w:val="nil"/>
              <w:left w:val="single" w:color="000000" w:sz="8" w:space="0"/>
              <w:bottom w:val="single" w:color="000000" w:sz="8" w:space="0"/>
              <w:right w:val="single" w:color="000000" w:sz="8" w:space="0"/>
            </w:tcBorders>
            <w:shd w:val="clear" w:color="auto" w:fill="auto"/>
            <w:vAlign w:val="center"/>
          </w:tcPr>
          <w:p>
            <w:pPr>
              <w:widowControl/>
              <w:ind w:firstLine="210" w:firstLineChars="100"/>
              <w:jc w:val="center"/>
              <w:textAlignment w:val="top"/>
              <w:rPr>
                <w:color w:val="auto"/>
                <w:sz w:val="21"/>
                <w:szCs w:val="21"/>
              </w:rPr>
            </w:pPr>
            <w:r>
              <w:rPr>
                <w:rFonts w:hint="eastAsia"/>
                <w:color w:val="auto"/>
                <w:sz w:val="21"/>
                <w:szCs w:val="21"/>
                <w:lang w:eastAsia="zh-CN"/>
              </w:rPr>
              <w:t>88,488,283</w:t>
            </w:r>
          </w:p>
        </w:tc>
        <w:tc>
          <w:tcPr>
            <w:tcW w:w="1079" w:type="dxa"/>
            <w:tcBorders>
              <w:top w:val="nil"/>
              <w:left w:val="single" w:color="000000" w:sz="8" w:space="0"/>
              <w:bottom w:val="single" w:color="000000" w:sz="8" w:space="0"/>
              <w:right w:val="single" w:color="000000" w:sz="8" w:space="0"/>
            </w:tcBorders>
            <w:shd w:val="clear" w:color="auto" w:fill="auto"/>
            <w:vAlign w:val="center"/>
          </w:tcPr>
          <w:p>
            <w:pPr>
              <w:widowControl/>
              <w:ind w:firstLine="210" w:firstLineChars="100"/>
              <w:jc w:val="center"/>
              <w:textAlignment w:val="top"/>
              <w:rPr>
                <w:color w:val="auto"/>
                <w:sz w:val="21"/>
                <w:szCs w:val="21"/>
              </w:rPr>
            </w:pPr>
            <w:r>
              <w:rPr>
                <w:rFonts w:hint="eastAsia"/>
                <w:color w:val="auto"/>
                <w:sz w:val="21"/>
                <w:szCs w:val="21"/>
                <w:lang w:eastAsia="zh-CN"/>
              </w:rPr>
              <w:t>52.35%</w:t>
            </w:r>
          </w:p>
        </w:tc>
        <w:tc>
          <w:tcPr>
            <w:tcW w:w="1573" w:type="dxa"/>
            <w:tcBorders>
              <w:top w:val="nil"/>
              <w:left w:val="single" w:color="000000" w:sz="8" w:space="0"/>
              <w:bottom w:val="single" w:color="000000" w:sz="8" w:space="0"/>
              <w:right w:val="single" w:color="000000" w:sz="8" w:space="0"/>
            </w:tcBorders>
            <w:shd w:val="clear" w:color="auto" w:fill="auto"/>
            <w:vAlign w:val="center"/>
          </w:tcPr>
          <w:p>
            <w:pPr>
              <w:widowControl/>
              <w:ind w:firstLine="210" w:firstLineChars="100"/>
              <w:jc w:val="center"/>
              <w:textAlignment w:val="top"/>
              <w:rPr>
                <w:color w:val="auto"/>
                <w:sz w:val="21"/>
                <w:szCs w:val="21"/>
              </w:rPr>
            </w:pPr>
            <w:r>
              <w:rPr>
                <w:rFonts w:hint="eastAsia"/>
                <w:color w:val="auto"/>
                <w:sz w:val="21"/>
                <w:szCs w:val="21"/>
                <w:lang w:eastAsia="zh-CN"/>
              </w:rPr>
              <w:t>-427,626</w:t>
            </w:r>
          </w:p>
        </w:tc>
        <w:tc>
          <w:tcPr>
            <w:tcW w:w="1591"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top"/>
              <w:rPr>
                <w:color w:val="auto"/>
                <w:sz w:val="21"/>
                <w:szCs w:val="21"/>
              </w:rPr>
            </w:pPr>
            <w:r>
              <w:rPr>
                <w:rFonts w:hint="eastAsia"/>
                <w:color w:val="auto"/>
                <w:sz w:val="21"/>
                <w:szCs w:val="21"/>
                <w:lang w:eastAsia="zh-CN"/>
              </w:rPr>
              <w:t>88,060,657</w:t>
            </w:r>
          </w:p>
        </w:tc>
        <w:tc>
          <w:tcPr>
            <w:tcW w:w="1056"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top"/>
              <w:rPr>
                <w:color w:val="auto"/>
                <w:sz w:val="21"/>
                <w:szCs w:val="21"/>
              </w:rPr>
            </w:pPr>
            <w:r>
              <w:rPr>
                <w:rFonts w:hint="eastAsia"/>
                <w:color w:val="auto"/>
                <w:sz w:val="21"/>
                <w:szCs w:val="21"/>
                <w:lang w:eastAsia="zh-CN"/>
              </w:rPr>
              <w:t>52.10%</w:t>
            </w:r>
          </w:p>
        </w:tc>
      </w:tr>
      <w:tr>
        <w:tblPrEx>
          <w:tblCellMar>
            <w:top w:w="0" w:type="dxa"/>
            <w:left w:w="108" w:type="dxa"/>
            <w:bottom w:w="0" w:type="dxa"/>
            <w:right w:w="108" w:type="dxa"/>
          </w:tblCellMar>
        </w:tblPrEx>
        <w:trPr>
          <w:trHeight w:val="525" w:hRule="atLeast"/>
        </w:trPr>
        <w:tc>
          <w:tcPr>
            <w:tcW w:w="1463"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top"/>
              <w:rPr>
                <w:b/>
                <w:bCs/>
                <w:color w:val="auto"/>
                <w:sz w:val="21"/>
                <w:szCs w:val="21"/>
              </w:rPr>
            </w:pPr>
            <w:r>
              <w:rPr>
                <w:rFonts w:hint="eastAsia"/>
                <w:b/>
                <w:bCs/>
                <w:color w:val="auto"/>
                <w:sz w:val="21"/>
                <w:szCs w:val="21"/>
                <w:lang w:eastAsia="zh-CN"/>
              </w:rPr>
              <w:t>三、总股本</w:t>
            </w:r>
          </w:p>
        </w:tc>
        <w:tc>
          <w:tcPr>
            <w:tcW w:w="1591" w:type="dxa"/>
            <w:tcBorders>
              <w:top w:val="nil"/>
              <w:left w:val="single" w:color="000000" w:sz="8" w:space="0"/>
              <w:bottom w:val="single" w:color="000000" w:sz="8" w:space="0"/>
              <w:right w:val="single" w:color="000000" w:sz="8" w:space="0"/>
            </w:tcBorders>
            <w:shd w:val="clear" w:color="auto" w:fill="auto"/>
            <w:vAlign w:val="center"/>
          </w:tcPr>
          <w:p>
            <w:pPr>
              <w:widowControl/>
              <w:ind w:firstLine="210" w:firstLineChars="100"/>
              <w:jc w:val="center"/>
              <w:textAlignment w:val="top"/>
              <w:rPr>
                <w:color w:val="auto"/>
                <w:sz w:val="21"/>
                <w:szCs w:val="21"/>
              </w:rPr>
            </w:pPr>
            <w:r>
              <w:rPr>
                <w:rFonts w:hint="eastAsia"/>
                <w:color w:val="auto"/>
                <w:sz w:val="21"/>
                <w:szCs w:val="21"/>
                <w:lang w:eastAsia="zh-CN"/>
              </w:rPr>
              <w:t>169,032,648</w:t>
            </w:r>
          </w:p>
        </w:tc>
        <w:tc>
          <w:tcPr>
            <w:tcW w:w="1079" w:type="dxa"/>
            <w:tcBorders>
              <w:top w:val="nil"/>
              <w:left w:val="single" w:color="000000" w:sz="8" w:space="0"/>
              <w:bottom w:val="single" w:color="000000" w:sz="8" w:space="0"/>
              <w:right w:val="single" w:color="000000" w:sz="8" w:space="0"/>
            </w:tcBorders>
            <w:shd w:val="clear" w:color="auto" w:fill="auto"/>
            <w:vAlign w:val="center"/>
          </w:tcPr>
          <w:p>
            <w:pPr>
              <w:widowControl/>
              <w:ind w:firstLine="210" w:firstLineChars="100"/>
              <w:jc w:val="center"/>
              <w:textAlignment w:val="top"/>
              <w:rPr>
                <w:color w:val="auto"/>
                <w:sz w:val="21"/>
                <w:szCs w:val="21"/>
              </w:rPr>
            </w:pPr>
            <w:r>
              <w:rPr>
                <w:rFonts w:hint="eastAsia"/>
                <w:color w:val="auto"/>
                <w:sz w:val="21"/>
                <w:szCs w:val="21"/>
                <w:lang w:eastAsia="zh-CN"/>
              </w:rPr>
              <w:t>100%</w:t>
            </w:r>
          </w:p>
        </w:tc>
        <w:tc>
          <w:tcPr>
            <w:tcW w:w="1573" w:type="dxa"/>
            <w:tcBorders>
              <w:top w:val="nil"/>
              <w:left w:val="single" w:color="000000" w:sz="8" w:space="0"/>
              <w:bottom w:val="single" w:color="000000" w:sz="8" w:space="0"/>
              <w:right w:val="single" w:color="000000" w:sz="8" w:space="0"/>
            </w:tcBorders>
            <w:shd w:val="clear" w:color="auto" w:fill="auto"/>
            <w:vAlign w:val="center"/>
          </w:tcPr>
          <w:p>
            <w:pPr>
              <w:widowControl/>
              <w:ind w:firstLine="210" w:firstLineChars="100"/>
              <w:jc w:val="center"/>
              <w:textAlignment w:val="top"/>
              <w:rPr>
                <w:color w:val="auto"/>
                <w:sz w:val="21"/>
                <w:szCs w:val="21"/>
              </w:rPr>
            </w:pPr>
            <w:r>
              <w:rPr>
                <w:rFonts w:hint="eastAsia"/>
                <w:color w:val="auto"/>
                <w:sz w:val="21"/>
                <w:szCs w:val="21"/>
                <w:lang w:eastAsia="zh-CN"/>
              </w:rPr>
              <w:t>-</w:t>
            </w:r>
          </w:p>
        </w:tc>
        <w:tc>
          <w:tcPr>
            <w:tcW w:w="1591" w:type="dxa"/>
            <w:tcBorders>
              <w:top w:val="nil"/>
              <w:left w:val="single" w:color="000000" w:sz="8" w:space="0"/>
              <w:bottom w:val="single" w:color="000000" w:sz="8" w:space="0"/>
              <w:right w:val="single" w:color="000000" w:sz="8" w:space="0"/>
            </w:tcBorders>
            <w:shd w:val="clear" w:color="auto" w:fill="auto"/>
            <w:vAlign w:val="center"/>
          </w:tcPr>
          <w:p>
            <w:pPr>
              <w:widowControl/>
              <w:ind w:firstLine="210" w:firstLineChars="100"/>
              <w:jc w:val="center"/>
              <w:textAlignment w:val="top"/>
              <w:rPr>
                <w:color w:val="auto"/>
                <w:sz w:val="21"/>
                <w:szCs w:val="21"/>
              </w:rPr>
            </w:pPr>
            <w:r>
              <w:rPr>
                <w:rFonts w:hint="eastAsia"/>
                <w:color w:val="auto"/>
                <w:sz w:val="21"/>
                <w:szCs w:val="21"/>
                <w:lang w:eastAsia="zh-CN"/>
              </w:rPr>
              <w:t>169,032,648</w:t>
            </w:r>
          </w:p>
        </w:tc>
        <w:tc>
          <w:tcPr>
            <w:tcW w:w="1056"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top"/>
              <w:rPr>
                <w:color w:val="auto"/>
                <w:sz w:val="21"/>
                <w:szCs w:val="21"/>
              </w:rPr>
            </w:pPr>
            <w:r>
              <w:rPr>
                <w:rFonts w:hint="eastAsia"/>
                <w:color w:val="auto"/>
                <w:sz w:val="21"/>
                <w:szCs w:val="21"/>
                <w:lang w:eastAsia="zh-CN"/>
              </w:rPr>
              <w:t>100%</w:t>
            </w:r>
          </w:p>
        </w:tc>
      </w:tr>
    </w:tbl>
    <w:p>
      <w:pPr>
        <w:pStyle w:val="4"/>
        <w:spacing w:before="153" w:afterLines="50" w:line="338" w:lineRule="auto"/>
        <w:ind w:firstLine="384" w:firstLineChars="183"/>
        <w:jc w:val="both"/>
        <w:rPr>
          <w:rFonts w:asciiTheme="minorEastAsia" w:hAnsiTheme="minorEastAsia" w:eastAsiaTheme="minorEastAsia"/>
          <w:color w:val="auto"/>
          <w:spacing w:val="-4"/>
          <w:sz w:val="21"/>
          <w:szCs w:val="21"/>
          <w:lang w:eastAsia="zh-CN"/>
        </w:rPr>
      </w:pPr>
      <w:r>
        <w:rPr>
          <w:rFonts w:asciiTheme="minorEastAsia" w:hAnsiTheme="minorEastAsia" w:eastAsiaTheme="minorEastAsia"/>
          <w:color w:val="auto"/>
          <w:sz w:val="21"/>
          <w:szCs w:val="21"/>
          <w:lang w:eastAsia="zh-CN"/>
        </w:rPr>
        <w:t>注：因四舍五入原因，本表中各分项之和与合计可能存在尾差，最终以中国证券登记结算公司出具的数据为准。</w:t>
      </w:r>
    </w:p>
    <w:p>
      <w:pPr>
        <w:pStyle w:val="4"/>
        <w:spacing w:before="153" w:afterLines="50" w:line="338" w:lineRule="auto"/>
        <w:ind w:firstLine="424" w:firstLineChars="183"/>
        <w:jc w:val="both"/>
        <w:rPr>
          <w:color w:val="auto"/>
          <w:spacing w:val="-4"/>
          <w:lang w:eastAsia="zh-CN"/>
        </w:rPr>
      </w:pPr>
      <w:r>
        <w:rPr>
          <w:color w:val="auto"/>
          <w:spacing w:val="-4"/>
          <w:lang w:eastAsia="zh-CN"/>
        </w:rPr>
        <w:t>本次限制性股票</w:t>
      </w:r>
      <w:r>
        <w:rPr>
          <w:rFonts w:hint="eastAsia"/>
          <w:color w:val="auto"/>
          <w:spacing w:val="-4"/>
          <w:lang w:eastAsia="zh-CN"/>
        </w:rPr>
        <w:t>激励计划预留部分</w:t>
      </w:r>
      <w:r>
        <w:rPr>
          <w:color w:val="auto"/>
          <w:spacing w:val="-4"/>
          <w:lang w:eastAsia="zh-CN"/>
        </w:rPr>
        <w:t>授予完成后，公司股权分布仍具备上市条件。</w:t>
      </w:r>
      <w:bookmarkStart w:id="5" w:name="六、收益摊薄情况"/>
      <w:bookmarkEnd w:id="5"/>
    </w:p>
    <w:p>
      <w:pPr>
        <w:pStyle w:val="2"/>
        <w:spacing w:afterLines="50"/>
        <w:ind w:left="0" w:firstLine="419" w:firstLineChars="183"/>
        <w:rPr>
          <w:color w:val="auto"/>
          <w:w w:val="95"/>
          <w:lang w:eastAsia="zh-CN"/>
        </w:rPr>
      </w:pPr>
      <w:r>
        <w:rPr>
          <w:color w:val="auto"/>
          <w:w w:val="95"/>
          <w:lang w:eastAsia="zh-CN"/>
        </w:rPr>
        <w:t>六、收益摊薄情况</w:t>
      </w:r>
    </w:p>
    <w:p>
      <w:pPr>
        <w:pStyle w:val="4"/>
        <w:spacing w:before="153" w:afterLines="50" w:line="338" w:lineRule="auto"/>
        <w:ind w:firstLine="439" w:firstLineChars="183"/>
        <w:jc w:val="both"/>
        <w:rPr>
          <w:color w:val="auto"/>
          <w:lang w:eastAsia="zh-CN"/>
        </w:rPr>
      </w:pPr>
      <w:bookmarkStart w:id="6" w:name="七、控股股东及实际控制人持股比例变动情况"/>
      <w:bookmarkEnd w:id="6"/>
      <w:r>
        <w:rPr>
          <w:color w:val="auto"/>
          <w:lang w:eastAsia="zh-CN"/>
        </w:rPr>
        <w:t>本次授予的限制性股票</w:t>
      </w:r>
      <w:r>
        <w:rPr>
          <w:rFonts w:hint="eastAsia"/>
          <w:color w:val="auto"/>
          <w:spacing w:val="-4"/>
          <w:lang w:eastAsia="zh-CN"/>
        </w:rPr>
        <w:t>激励计划预留部分</w:t>
      </w:r>
      <w:r>
        <w:rPr>
          <w:color w:val="auto"/>
          <w:lang w:eastAsia="zh-CN"/>
        </w:rPr>
        <w:t>授予登记完成后，公司总股本未发生变化，每股收益情况不作调整。</w:t>
      </w:r>
    </w:p>
    <w:p>
      <w:pPr>
        <w:pStyle w:val="2"/>
        <w:spacing w:afterLines="50"/>
        <w:ind w:left="0" w:firstLine="419" w:firstLineChars="183"/>
        <w:rPr>
          <w:color w:val="auto"/>
          <w:w w:val="95"/>
          <w:lang w:eastAsia="zh-CN"/>
        </w:rPr>
      </w:pPr>
      <w:r>
        <w:rPr>
          <w:color w:val="auto"/>
          <w:w w:val="95"/>
          <w:lang w:eastAsia="zh-CN"/>
        </w:rPr>
        <w:t>七、控股股东及实际控制人持股比例变动情况</w:t>
      </w:r>
    </w:p>
    <w:p>
      <w:pPr>
        <w:pStyle w:val="4"/>
        <w:spacing w:before="153" w:afterLines="50" w:line="338" w:lineRule="auto"/>
        <w:ind w:firstLine="424" w:firstLineChars="183"/>
        <w:jc w:val="both"/>
        <w:rPr>
          <w:color w:val="auto"/>
          <w:spacing w:val="-4"/>
          <w:lang w:eastAsia="zh-CN"/>
        </w:rPr>
      </w:pPr>
      <w:bookmarkStart w:id="7" w:name="八、参与激励的董事、高级管理人员在授予日前6个月买卖公司股票情况的说明"/>
      <w:bookmarkEnd w:id="7"/>
      <w:r>
        <w:rPr>
          <w:color w:val="auto"/>
          <w:spacing w:val="-4"/>
          <w:lang w:eastAsia="zh-CN"/>
        </w:rPr>
        <w:t>本次授予的限制性股票</w:t>
      </w:r>
      <w:r>
        <w:rPr>
          <w:rFonts w:hint="eastAsia"/>
          <w:color w:val="auto"/>
          <w:spacing w:val="-4"/>
          <w:lang w:eastAsia="zh-CN"/>
        </w:rPr>
        <w:t>激励计划预留部分</w:t>
      </w:r>
      <w:r>
        <w:rPr>
          <w:color w:val="auto"/>
          <w:spacing w:val="-4"/>
          <w:lang w:eastAsia="zh-CN"/>
        </w:rPr>
        <w:t>授予登记完成后，公司总股本未发生变化，公司控股股东持股数量及持股比例均未发生变化，不会导致公司控制权发生变化。</w:t>
      </w:r>
    </w:p>
    <w:p>
      <w:pPr>
        <w:pStyle w:val="2"/>
        <w:spacing w:afterLines="50"/>
        <w:ind w:left="0" w:firstLine="419" w:firstLineChars="183"/>
        <w:rPr>
          <w:color w:val="auto"/>
          <w:w w:val="95"/>
          <w:lang w:eastAsia="zh-CN"/>
        </w:rPr>
      </w:pPr>
      <w:r>
        <w:rPr>
          <w:rFonts w:hint="eastAsia"/>
          <w:color w:val="auto"/>
          <w:w w:val="95"/>
          <w:lang w:eastAsia="zh-CN"/>
        </w:rPr>
        <w:t>八、参与激励的董事、高级管理人员在授予日前6个月买卖公司股票情况的说明</w:t>
      </w:r>
    </w:p>
    <w:p>
      <w:pPr>
        <w:pStyle w:val="4"/>
        <w:spacing w:before="153" w:afterLines="50" w:line="338" w:lineRule="auto"/>
        <w:ind w:firstLine="424" w:firstLineChars="183"/>
        <w:jc w:val="both"/>
        <w:rPr>
          <w:color w:val="auto"/>
          <w:lang w:eastAsia="zh-CN"/>
        </w:rPr>
      </w:pPr>
      <w:r>
        <w:rPr>
          <w:color w:val="auto"/>
          <w:spacing w:val="-4"/>
          <w:lang w:eastAsia="zh-CN"/>
        </w:rPr>
        <w:t>参与</w:t>
      </w:r>
      <w:r>
        <w:rPr>
          <w:rFonts w:hint="eastAsia"/>
          <w:color w:val="auto"/>
          <w:spacing w:val="-4"/>
          <w:lang w:eastAsia="zh-CN"/>
        </w:rPr>
        <w:t>2021</w:t>
      </w:r>
      <w:r>
        <w:rPr>
          <w:color w:val="auto"/>
          <w:spacing w:val="-4"/>
          <w:lang w:eastAsia="zh-CN"/>
        </w:rPr>
        <w:t>年限制性股票激励计划的公司董事、高级管理人员在授予日前6个月不存在买卖公司股票的情况。</w:t>
      </w:r>
    </w:p>
    <w:p>
      <w:pPr>
        <w:pStyle w:val="2"/>
        <w:spacing w:afterLines="50"/>
        <w:ind w:left="0" w:firstLine="419" w:firstLineChars="183"/>
        <w:rPr>
          <w:color w:val="auto"/>
          <w:lang w:eastAsia="zh-CN"/>
        </w:rPr>
      </w:pPr>
      <w:bookmarkStart w:id="8" w:name="九、授予限制性股票募集资金使用计划"/>
      <w:bookmarkEnd w:id="8"/>
      <w:r>
        <w:rPr>
          <w:color w:val="auto"/>
          <w:w w:val="95"/>
          <w:lang w:eastAsia="zh-CN"/>
        </w:rPr>
        <w:t>九、授予限制性股票募集资金使用计划</w:t>
      </w:r>
    </w:p>
    <w:p>
      <w:pPr>
        <w:pStyle w:val="4"/>
        <w:spacing w:before="153" w:afterLines="50" w:line="338" w:lineRule="auto"/>
        <w:ind w:firstLine="424" w:firstLineChars="183"/>
        <w:jc w:val="both"/>
        <w:rPr>
          <w:color w:val="auto"/>
          <w:spacing w:val="-4"/>
          <w:lang w:eastAsia="zh-CN"/>
        </w:rPr>
      </w:pPr>
      <w:r>
        <w:rPr>
          <w:color w:val="auto"/>
          <w:spacing w:val="-4"/>
          <w:lang w:eastAsia="zh-CN"/>
        </w:rPr>
        <w:t>本次授予激励对象限制性股票</w:t>
      </w:r>
      <w:r>
        <w:rPr>
          <w:rFonts w:hint="eastAsia"/>
          <w:color w:val="auto"/>
          <w:spacing w:val="-4"/>
          <w:lang w:eastAsia="zh-CN"/>
        </w:rPr>
        <w:t>激励计划预留部分</w:t>
      </w:r>
      <w:r>
        <w:rPr>
          <w:color w:val="auto"/>
          <w:spacing w:val="-4"/>
          <w:lang w:eastAsia="zh-CN"/>
        </w:rPr>
        <w:t>所筹集资金将用于补充公司流动资金。</w:t>
      </w:r>
    </w:p>
    <w:p>
      <w:pPr>
        <w:pStyle w:val="2"/>
        <w:spacing w:afterLines="50"/>
        <w:ind w:left="0" w:firstLine="419" w:firstLineChars="183"/>
        <w:rPr>
          <w:color w:val="auto"/>
          <w:w w:val="95"/>
          <w:lang w:eastAsia="zh-CN"/>
        </w:rPr>
      </w:pPr>
      <w:r>
        <w:rPr>
          <w:rFonts w:hint="eastAsia"/>
          <w:color w:val="auto"/>
          <w:w w:val="95"/>
          <w:lang w:eastAsia="zh-CN"/>
        </w:rPr>
        <w:t>十、</w:t>
      </w:r>
      <w:r>
        <w:rPr>
          <w:color w:val="auto"/>
          <w:w w:val="95"/>
          <w:lang w:eastAsia="zh-CN"/>
        </w:rPr>
        <w:t>公司已回购股份用于本次激励计划的情况说明</w:t>
      </w:r>
    </w:p>
    <w:p>
      <w:pPr>
        <w:pStyle w:val="4"/>
        <w:spacing w:before="153" w:afterLines="50" w:line="338" w:lineRule="auto"/>
        <w:ind w:firstLine="424" w:firstLineChars="183"/>
        <w:jc w:val="both"/>
        <w:rPr>
          <w:color w:val="auto"/>
          <w:spacing w:val="-4"/>
          <w:lang w:eastAsia="zh-CN"/>
        </w:rPr>
      </w:pPr>
      <w:r>
        <w:rPr>
          <w:color w:val="auto"/>
          <w:spacing w:val="-4"/>
          <w:lang w:eastAsia="zh-CN"/>
        </w:rPr>
        <w:t>1、回购股份的实施情况</w:t>
      </w:r>
    </w:p>
    <w:p>
      <w:pPr>
        <w:pStyle w:val="4"/>
        <w:spacing w:before="153" w:afterLines="50" w:line="338" w:lineRule="auto"/>
        <w:ind w:firstLine="424" w:firstLineChars="183"/>
        <w:jc w:val="both"/>
        <w:rPr>
          <w:color w:val="auto"/>
          <w:spacing w:val="-4"/>
          <w:lang w:eastAsia="zh-CN"/>
        </w:rPr>
      </w:pPr>
      <w:r>
        <w:rPr>
          <w:color w:val="auto"/>
          <w:spacing w:val="-4"/>
          <w:lang w:eastAsia="zh-CN"/>
        </w:rPr>
        <w:t>公司实施回购股份时间区间为20</w:t>
      </w:r>
      <w:r>
        <w:rPr>
          <w:rFonts w:hint="eastAsia"/>
          <w:color w:val="auto"/>
          <w:spacing w:val="-4"/>
          <w:lang w:eastAsia="zh-CN"/>
        </w:rPr>
        <w:t>21</w:t>
      </w:r>
      <w:r>
        <w:rPr>
          <w:color w:val="auto"/>
          <w:spacing w:val="-4"/>
          <w:lang w:eastAsia="zh-CN"/>
        </w:rPr>
        <w:t>年</w:t>
      </w:r>
      <w:r>
        <w:rPr>
          <w:rFonts w:hint="eastAsia"/>
          <w:color w:val="auto"/>
          <w:spacing w:val="-4"/>
          <w:lang w:eastAsia="zh-CN"/>
        </w:rPr>
        <w:t>6</w:t>
      </w:r>
      <w:r>
        <w:rPr>
          <w:color w:val="auto"/>
          <w:spacing w:val="-4"/>
          <w:lang w:eastAsia="zh-CN"/>
        </w:rPr>
        <w:t>月</w:t>
      </w:r>
      <w:r>
        <w:rPr>
          <w:rFonts w:hint="eastAsia"/>
          <w:color w:val="auto"/>
          <w:spacing w:val="-4"/>
          <w:lang w:eastAsia="zh-CN"/>
        </w:rPr>
        <w:t>29</w:t>
      </w:r>
      <w:r>
        <w:rPr>
          <w:color w:val="auto"/>
          <w:spacing w:val="-4"/>
          <w:lang w:eastAsia="zh-CN"/>
        </w:rPr>
        <w:t>日至20</w:t>
      </w:r>
      <w:r>
        <w:rPr>
          <w:rFonts w:hint="eastAsia"/>
          <w:color w:val="auto"/>
          <w:spacing w:val="-4"/>
          <w:lang w:eastAsia="zh-CN"/>
        </w:rPr>
        <w:t>21</w:t>
      </w:r>
      <w:r>
        <w:rPr>
          <w:color w:val="auto"/>
          <w:spacing w:val="-4"/>
          <w:lang w:eastAsia="zh-CN"/>
        </w:rPr>
        <w:t>年</w:t>
      </w:r>
      <w:r>
        <w:rPr>
          <w:rFonts w:hint="eastAsia"/>
          <w:color w:val="auto"/>
          <w:spacing w:val="-4"/>
          <w:lang w:eastAsia="zh-CN"/>
        </w:rPr>
        <w:t>9</w:t>
      </w:r>
      <w:r>
        <w:rPr>
          <w:color w:val="auto"/>
          <w:spacing w:val="-4"/>
          <w:lang w:eastAsia="zh-CN"/>
        </w:rPr>
        <w:t>月</w:t>
      </w:r>
      <w:r>
        <w:rPr>
          <w:rFonts w:hint="eastAsia"/>
          <w:color w:val="auto"/>
          <w:spacing w:val="-4"/>
          <w:lang w:eastAsia="zh-CN"/>
        </w:rPr>
        <w:t>18</w:t>
      </w:r>
      <w:r>
        <w:rPr>
          <w:color w:val="auto"/>
          <w:spacing w:val="-4"/>
          <w:lang w:eastAsia="zh-CN"/>
        </w:rPr>
        <w:t>日，公司累计</w:t>
      </w:r>
      <w:r>
        <w:rPr>
          <w:rFonts w:hint="eastAsia"/>
          <w:color w:val="auto"/>
          <w:lang w:eastAsia="zh-CN"/>
        </w:rPr>
        <w:t>通过回购专用证券账户以集中竞价方式回购</w:t>
      </w:r>
      <w:r>
        <w:rPr>
          <w:color w:val="auto"/>
          <w:spacing w:val="-4"/>
          <w:lang w:eastAsia="zh-CN"/>
        </w:rPr>
        <w:t>公司股份数量为</w:t>
      </w:r>
      <w:r>
        <w:rPr>
          <w:rFonts w:hint="eastAsia"/>
          <w:color w:val="auto"/>
          <w:lang w:eastAsia="zh-CN"/>
        </w:rPr>
        <w:t>3,147,626股</w:t>
      </w:r>
      <w:r>
        <w:rPr>
          <w:color w:val="auto"/>
          <w:spacing w:val="-4"/>
          <w:lang w:eastAsia="zh-CN"/>
        </w:rPr>
        <w:t>，成交的最高价为</w:t>
      </w:r>
      <w:r>
        <w:rPr>
          <w:rFonts w:hint="eastAsia"/>
          <w:color w:val="auto"/>
          <w:lang w:eastAsia="zh-CN"/>
        </w:rPr>
        <w:t>9.95</w:t>
      </w:r>
      <w:r>
        <w:rPr>
          <w:color w:val="auto"/>
          <w:spacing w:val="-4"/>
          <w:lang w:eastAsia="zh-CN"/>
        </w:rPr>
        <w:t>元/股，最低价为</w:t>
      </w:r>
      <w:r>
        <w:rPr>
          <w:rFonts w:hint="eastAsia"/>
          <w:color w:val="auto"/>
          <w:lang w:eastAsia="zh-CN"/>
        </w:rPr>
        <w:t>8.97</w:t>
      </w:r>
      <w:r>
        <w:rPr>
          <w:color w:val="auto"/>
          <w:spacing w:val="-4"/>
          <w:lang w:eastAsia="zh-CN"/>
        </w:rPr>
        <w:t>元/股，</w:t>
      </w:r>
      <w:r>
        <w:rPr>
          <w:rFonts w:hint="eastAsia"/>
          <w:color w:val="auto"/>
          <w:spacing w:val="-4"/>
          <w:lang w:eastAsia="zh-CN"/>
        </w:rPr>
        <w:t>均价为9.53元/股，</w:t>
      </w:r>
      <w:r>
        <w:rPr>
          <w:color w:val="auto"/>
          <w:spacing w:val="-4"/>
          <w:lang w:eastAsia="zh-CN"/>
        </w:rPr>
        <w:t>支付的总金额约为</w:t>
      </w:r>
      <w:r>
        <w:rPr>
          <w:rFonts w:hint="eastAsia"/>
          <w:color w:val="auto"/>
          <w:lang w:eastAsia="zh-CN"/>
        </w:rPr>
        <w:t>2</w:t>
      </w:r>
      <w:r>
        <w:rPr>
          <w:color w:val="auto"/>
          <w:lang w:eastAsia="zh-CN"/>
        </w:rPr>
        <w:t>,999.</w:t>
      </w:r>
      <w:r>
        <w:rPr>
          <w:rFonts w:hint="eastAsia"/>
          <w:color w:val="auto"/>
          <w:lang w:eastAsia="zh-CN"/>
        </w:rPr>
        <w:t>985万元（不含交易费用）</w:t>
      </w:r>
      <w:r>
        <w:rPr>
          <w:color w:val="auto"/>
          <w:spacing w:val="-4"/>
          <w:lang w:eastAsia="zh-CN"/>
        </w:rPr>
        <w:t>。</w:t>
      </w:r>
      <w:r>
        <w:rPr>
          <w:rFonts w:hint="eastAsia"/>
          <w:color w:val="auto"/>
          <w:spacing w:val="-4"/>
          <w:lang w:eastAsia="zh-CN"/>
        </w:rPr>
        <w:t xml:space="preserve"> 截至本公告日，</w:t>
      </w:r>
      <w:r>
        <w:rPr>
          <w:color w:val="auto"/>
          <w:spacing w:val="-4"/>
          <w:lang w:eastAsia="zh-CN"/>
        </w:rPr>
        <w:t>公司本次回购股份</w:t>
      </w:r>
      <w:r>
        <w:rPr>
          <w:rFonts w:hint="eastAsia"/>
          <w:color w:val="auto"/>
          <w:spacing w:val="-4"/>
          <w:lang w:eastAsia="zh-CN"/>
        </w:rPr>
        <w:t>用于本次限制性股票激励计划</w:t>
      </w:r>
      <w:r>
        <w:rPr>
          <w:color w:val="auto"/>
          <w:spacing w:val="-4"/>
          <w:lang w:eastAsia="zh-CN"/>
        </w:rPr>
        <w:t>已</w:t>
      </w:r>
      <w:r>
        <w:rPr>
          <w:rFonts w:hint="eastAsia"/>
          <w:color w:val="auto"/>
          <w:spacing w:val="-4"/>
          <w:lang w:eastAsia="zh-CN"/>
        </w:rPr>
        <w:t>全部</w:t>
      </w:r>
      <w:r>
        <w:rPr>
          <w:color w:val="auto"/>
          <w:spacing w:val="-4"/>
          <w:lang w:eastAsia="zh-CN"/>
        </w:rPr>
        <w:t>实施完毕。</w:t>
      </w:r>
    </w:p>
    <w:p>
      <w:pPr>
        <w:pStyle w:val="4"/>
        <w:numPr>
          <w:ilvl w:val="0"/>
          <w:numId w:val="2"/>
        </w:numPr>
        <w:spacing w:before="153" w:afterLines="50" w:line="338" w:lineRule="auto"/>
        <w:ind w:firstLine="424" w:firstLineChars="183"/>
        <w:jc w:val="both"/>
        <w:rPr>
          <w:color w:val="auto"/>
          <w:spacing w:val="-4"/>
          <w:lang w:eastAsia="zh-CN"/>
        </w:rPr>
      </w:pPr>
      <w:r>
        <w:rPr>
          <w:color w:val="auto"/>
          <w:spacing w:val="-4"/>
          <w:lang w:eastAsia="zh-CN"/>
        </w:rPr>
        <w:t>授予价格与回购均价差异处理</w:t>
      </w:r>
    </w:p>
    <w:p>
      <w:pPr>
        <w:pStyle w:val="4"/>
        <w:spacing w:before="153" w:afterLines="50" w:line="338" w:lineRule="auto"/>
        <w:ind w:firstLine="424" w:firstLineChars="183"/>
        <w:jc w:val="both"/>
        <w:rPr>
          <w:color w:val="auto"/>
          <w:spacing w:val="-4"/>
          <w:lang w:eastAsia="zh-CN"/>
        </w:rPr>
      </w:pPr>
      <w:r>
        <w:rPr>
          <w:color w:val="auto"/>
          <w:spacing w:val="-4"/>
          <w:lang w:eastAsia="zh-CN"/>
        </w:rPr>
        <w:t>根据《企业会计准则第37号——金融工具列报》第二十二条规定：金融工具或其组成部分属于权益工具的，其发行（含再融资）、回购、出售或注销时，发行方应当作为权益的变动处理。同时根据《企业会计准则第11号——股份支付》应用指南中对回购股份进行职工期权激励规定：企业应于职工行权购买本企业股份收到价款时，转销交付职工的库存股成本和等待期内资本公积（其他资本公积）累计金额，同时，按照其差额调整资本公积（股本溢价）。在等待期的每个资产负债表日，公司将按照限制性股票授予日的公允价值与员工认购价格之差计入成本费用，同时增加资本公积（其他资本公积）。</w:t>
      </w:r>
    </w:p>
    <w:p>
      <w:pPr>
        <w:pStyle w:val="2"/>
        <w:spacing w:afterLines="50"/>
        <w:ind w:left="0" w:firstLine="419" w:firstLineChars="183"/>
        <w:rPr>
          <w:color w:val="auto"/>
          <w:w w:val="95"/>
          <w:lang w:eastAsia="zh-CN"/>
        </w:rPr>
      </w:pPr>
      <w:r>
        <w:rPr>
          <w:rFonts w:hint="eastAsia"/>
          <w:color w:val="auto"/>
          <w:w w:val="95"/>
          <w:lang w:eastAsia="zh-CN"/>
        </w:rPr>
        <w:t>十一、备查文件</w:t>
      </w:r>
    </w:p>
    <w:p>
      <w:pPr>
        <w:pStyle w:val="4"/>
        <w:spacing w:before="153" w:afterLines="50" w:line="338" w:lineRule="auto"/>
        <w:ind w:firstLine="402" w:firstLineChars="183"/>
        <w:rPr>
          <w:color w:val="auto"/>
          <w:spacing w:val="-4"/>
          <w:lang w:eastAsia="zh-CN"/>
        </w:rPr>
      </w:pPr>
      <w:r>
        <w:rPr>
          <w:rFonts w:hint="eastAsia"/>
          <w:color w:val="auto"/>
          <w:spacing w:val="-10"/>
          <w:lang w:eastAsia="zh-CN"/>
        </w:rPr>
        <w:t>山东和信会计师事务所（特殊普通合伙）出具的和信验字（2022)第000043号《</w:t>
      </w:r>
      <w:r>
        <w:rPr>
          <w:rFonts w:hint="eastAsia"/>
          <w:color w:val="auto"/>
          <w:spacing w:val="-4"/>
          <w:lang w:eastAsia="zh-CN"/>
        </w:rPr>
        <w:t>青岛伟隆阀门股份有限公司</w:t>
      </w:r>
      <w:r>
        <w:rPr>
          <w:rFonts w:hint="eastAsia"/>
          <w:color w:val="auto"/>
          <w:spacing w:val="-10"/>
          <w:lang w:eastAsia="zh-CN"/>
        </w:rPr>
        <w:t>验资报告》</w:t>
      </w:r>
    </w:p>
    <w:p>
      <w:pPr>
        <w:pStyle w:val="4"/>
        <w:spacing w:before="153" w:afterLines="50" w:line="338" w:lineRule="auto"/>
        <w:ind w:firstLine="424" w:firstLineChars="183"/>
        <w:jc w:val="both"/>
        <w:rPr>
          <w:color w:val="auto"/>
          <w:spacing w:val="-4"/>
          <w:lang w:eastAsia="zh-CN"/>
        </w:rPr>
      </w:pPr>
      <w:r>
        <w:rPr>
          <w:color w:val="auto"/>
          <w:spacing w:val="-4"/>
          <w:lang w:eastAsia="zh-CN"/>
        </w:rPr>
        <w:t>特此公告。</w:t>
      </w:r>
    </w:p>
    <w:p>
      <w:pPr>
        <w:pStyle w:val="4"/>
        <w:spacing w:before="153" w:line="338" w:lineRule="auto"/>
        <w:ind w:right="-48" w:rightChars="-22" w:firstLine="424" w:firstLineChars="183"/>
        <w:jc w:val="right"/>
        <w:rPr>
          <w:color w:val="auto"/>
          <w:spacing w:val="-4"/>
          <w:lang w:eastAsia="zh-CN"/>
        </w:rPr>
      </w:pPr>
      <w:r>
        <w:rPr>
          <w:rFonts w:hint="eastAsia"/>
          <w:color w:val="auto"/>
          <w:spacing w:val="-4"/>
          <w:lang w:eastAsia="zh-CN"/>
        </w:rPr>
        <w:t>青岛伟隆阀门股份有限公司</w:t>
      </w:r>
    </w:p>
    <w:p>
      <w:pPr>
        <w:pStyle w:val="4"/>
        <w:wordWrap w:val="0"/>
        <w:spacing w:before="153" w:line="338" w:lineRule="auto"/>
        <w:ind w:right="-48" w:rightChars="-22" w:firstLine="424" w:firstLineChars="183"/>
        <w:jc w:val="right"/>
        <w:rPr>
          <w:color w:val="auto"/>
          <w:spacing w:val="-4"/>
          <w:lang w:eastAsia="zh-CN"/>
        </w:rPr>
      </w:pPr>
      <w:r>
        <w:rPr>
          <w:rFonts w:hint="eastAsia"/>
          <w:color w:val="auto"/>
          <w:spacing w:val="-4"/>
          <w:lang w:eastAsia="zh-CN"/>
        </w:rPr>
        <w:t xml:space="preserve">董事会        </w:t>
      </w:r>
    </w:p>
    <w:p>
      <w:pPr>
        <w:pStyle w:val="4"/>
        <w:wordWrap w:val="0"/>
        <w:spacing w:before="153" w:line="338" w:lineRule="auto"/>
        <w:ind w:right="-48" w:rightChars="-22" w:firstLine="424" w:firstLineChars="183"/>
        <w:jc w:val="right"/>
        <w:rPr>
          <w:color w:val="auto"/>
          <w:spacing w:val="-4"/>
          <w:lang w:eastAsia="zh-CN"/>
        </w:rPr>
      </w:pPr>
      <w:r>
        <w:rPr>
          <w:rFonts w:hint="eastAsia"/>
          <w:color w:val="auto"/>
          <w:spacing w:val="-4"/>
          <w:lang w:eastAsia="zh-CN"/>
        </w:rPr>
        <w:t>202</w:t>
      </w:r>
      <w:r>
        <w:rPr>
          <w:color w:val="auto"/>
          <w:spacing w:val="-4"/>
          <w:lang w:eastAsia="zh-CN"/>
        </w:rPr>
        <w:t>2</w:t>
      </w:r>
      <w:r>
        <w:rPr>
          <w:rFonts w:hint="eastAsia"/>
          <w:color w:val="auto"/>
          <w:spacing w:val="-4"/>
          <w:lang w:eastAsia="zh-CN"/>
        </w:rPr>
        <w:t>年</w:t>
      </w:r>
      <w:r>
        <w:rPr>
          <w:color w:val="auto"/>
          <w:spacing w:val="-4"/>
          <w:lang w:eastAsia="zh-CN"/>
        </w:rPr>
        <w:t>09</w:t>
      </w:r>
      <w:r>
        <w:rPr>
          <w:rFonts w:hint="eastAsia"/>
          <w:color w:val="auto"/>
          <w:spacing w:val="-4"/>
          <w:lang w:eastAsia="zh-CN"/>
        </w:rPr>
        <w:t>月</w:t>
      </w:r>
      <w:r>
        <w:rPr>
          <w:color w:val="auto"/>
          <w:spacing w:val="-4"/>
          <w:lang w:eastAsia="zh-CN"/>
        </w:rPr>
        <w:t>2</w:t>
      </w:r>
      <w:r>
        <w:rPr>
          <w:rFonts w:hint="default"/>
          <w:color w:val="auto"/>
          <w:spacing w:val="-4"/>
          <w:lang w:val="en-US" w:eastAsia="zh-CN"/>
        </w:rPr>
        <w:t>3</w:t>
      </w:r>
      <w:bookmarkStart w:id="9" w:name="_GoBack"/>
      <w:bookmarkEnd w:id="9"/>
      <w:r>
        <w:rPr>
          <w:rFonts w:hint="eastAsia"/>
          <w:color w:val="auto"/>
          <w:spacing w:val="-4"/>
          <w:lang w:eastAsia="zh-CN"/>
        </w:rPr>
        <w:t xml:space="preserve">日    </w:t>
      </w:r>
    </w:p>
    <w:sectPr>
      <w:footerReference r:id="rId3" w:type="default"/>
      <w:pgSz w:w="11910" w:h="16840"/>
      <w:pgMar w:top="1440" w:right="1800" w:bottom="1440" w:left="1800" w:header="0" w:footer="1194"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before="0" w:line="14" w:lineRule="auto"/>
      <w:rPr>
        <w:sz w:val="20"/>
      </w:rPr>
    </w:pPr>
    <w:r>
      <w:pict>
        <v:group id="_x0000_s1025" o:spid="_x0000_s1025" o:spt="203" style="position:absolute;left:0pt;margin-left:0pt;margin-top:799.9pt;height:42pt;width:595.35pt;mso-position-horizontal-relative:page;mso-position-vertical-relative:page;z-index:-251657216;mso-width-relative:page;mso-height-relative:page;" coordorigin="0,1" coordsize="1,84022203">
          <o:lock v:ext="edit"/>
          <v:shape id="_x0000_s1026" o:spid="_x0000_s1026" o:spt="75" type="#_x0000_t75" style="position:absolute;left:0;top:1;height:0;width:1;" filled="f" o:preferrelative="t" stroked="f" coordsize="21600,21600">
            <v:path/>
            <v:fill on="f" focussize="0,0"/>
            <v:stroke on="f" joinstyle="miter"/>
            <v:imagedata r:id="rId1" o:title=""/>
            <o:lock v:ext="edit" aspectratio="t"/>
          </v:shape>
          <v:shape id="_x0000_s1027" o:spid="_x0000_s1027" o:spt="75" type="#_x0000_t75" style="position:absolute;left:1;top:1;height:0;width:0;" filled="f" o:preferrelative="t" stroked="f" coordsize="21600,21600">
            <v:path/>
            <v:fill on="f" focussize="0,0"/>
            <v:stroke on="f" joinstyle="miter"/>
            <v:imagedata r:id="rId2" o:title=""/>
            <o:lock v:ext="edit" aspectratio="t"/>
          </v:shape>
        </v:group>
      </w:pict>
    </w:r>
    <w:r>
      <w:pict>
        <v:shape id="_x0000_s1028" o:spid="_x0000_s1028" o:spt="202" type="#_x0000_t202" style="position:absolute;left:0pt;margin-left:293.4pt;margin-top:771.2pt;height:11pt;width:8.6pt;mso-position-horizontal-relative:page;mso-position-vertical-relative:page;z-index:-251656192;mso-width-relative:page;mso-height-relative:page;" filled="f" stroked="f" coordsize="21600,21600">
          <v:path/>
          <v:fill on="f" focussize="0,0"/>
          <v:stroke on="f" joinstyle="miter"/>
          <v:imagedata o:title=""/>
          <o:lock v:ext="edit"/>
          <v:textbox inset="0mm,0mm,0mm,0mm">
            <w:txbxContent>
              <w:p>
                <w:pPr>
                  <w:spacing w:line="203" w:lineRule="exact"/>
                  <w:ind w:left="40"/>
                  <w:rPr>
                    <w:rFonts w:ascii="Calibri"/>
                    <w:sz w:val="18"/>
                  </w:rPr>
                </w:pPr>
                <w:r>
                  <w:fldChar w:fldCharType="begin"/>
                </w:r>
                <w:r>
                  <w:rPr>
                    <w:rFonts w:ascii="Calibri"/>
                    <w:sz w:val="18"/>
                  </w:rPr>
                  <w:instrText xml:space="preserve"> PAGE </w:instrText>
                </w:r>
                <w:r>
                  <w:fldChar w:fldCharType="separate"/>
                </w:r>
                <w:r>
                  <w:rPr>
                    <w:rFonts w:ascii="Calibri"/>
                    <w:sz w:val="18"/>
                  </w:rPr>
                  <w:t>9</w:t>
                </w:r>
                <w:r>
                  <w:fldChar w:fldCharType="end"/>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C1B5B2C"/>
    <w:multiLevelType w:val="singleLevel"/>
    <w:tmpl w:val="8C1B5B2C"/>
    <w:lvl w:ilvl="0" w:tentative="0">
      <w:start w:val="2"/>
      <w:numFmt w:val="decimal"/>
      <w:suff w:val="nothing"/>
      <w:lvlText w:val="%1、"/>
      <w:lvlJc w:val="left"/>
    </w:lvl>
  </w:abstractNum>
  <w:abstractNum w:abstractNumId="1">
    <w:nsid w:val="D6D25BBC"/>
    <w:multiLevelType w:val="singleLevel"/>
    <w:tmpl w:val="D6D25BBC"/>
    <w:lvl w:ilvl="0" w:tentative="0">
      <w:start w:val="1"/>
      <w:numFmt w:val="decimal"/>
      <w:suff w:val="space"/>
      <w:lvlText w:val="%1、"/>
      <w:lvlJc w:val="left"/>
    </w:lvl>
  </w:abstractNum>
  <w:num w:numId="1">
    <w:abstractNumId w:val="1"/>
  </w:num>
  <w:num w:numId="2">
    <w:abstractNumId w:val="0"/>
  </w:num>
</w:numbering>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ot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7"/>
    <customShpInfo spid="_x0000_s1025"/>
    <customShpInfo spid="_x0000_s102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